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C757DE">
        <w:rPr>
          <w:strike/>
          <w:kern w:val="28"/>
          <w:sz w:val="28"/>
          <w:szCs w:val="28"/>
        </w:rPr>
        <w:t>стремясь</w:t>
      </w:r>
      <w:r w:rsidRPr="00586119">
        <w:rPr>
          <w:kern w:val="28"/>
          <w:sz w:val="28"/>
          <w:szCs w:val="28"/>
        </w:rPr>
        <w:t xml:space="preserve"> </w:t>
      </w:r>
      <w:proofErr w:type="spellStart"/>
      <w:r w:rsidR="00C757DE" w:rsidRPr="00C757DE">
        <w:rPr>
          <w:b/>
          <w:kern w:val="28"/>
          <w:sz w:val="28"/>
          <w:szCs w:val="28"/>
        </w:rPr>
        <w:t>СТРЕМЯСЬ</w:t>
      </w:r>
      <w:proofErr w:type="spellEnd"/>
      <w:r w:rsidR="00C757DE">
        <w:rPr>
          <w:kern w:val="28"/>
          <w:sz w:val="28"/>
          <w:szCs w:val="28"/>
        </w:rPr>
        <w:t xml:space="preserve"> (</w:t>
      </w:r>
      <w:r w:rsidR="00C757DE" w:rsidRPr="00C757DE">
        <w:rPr>
          <w:i/>
          <w:kern w:val="28"/>
          <w:sz w:val="28"/>
          <w:szCs w:val="28"/>
        </w:rPr>
        <w:t>предложение НЦА</w:t>
      </w:r>
      <w:r w:rsidR="00C757DE">
        <w:rPr>
          <w:kern w:val="28"/>
          <w:sz w:val="28"/>
          <w:szCs w:val="28"/>
        </w:rPr>
        <w:t xml:space="preserve">) </w:t>
      </w:r>
      <w:r w:rsidRPr="00586119">
        <w:rPr>
          <w:kern w:val="28"/>
          <w:sz w:val="28"/>
          <w:szCs w:val="28"/>
        </w:rPr>
        <w:t>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strike/>
          <w:sz w:val="28"/>
          <w:szCs w:val="28"/>
        </w:rPr>
        <w:t>признавая</w:t>
      </w:r>
      <w:r w:rsidRPr="00586119">
        <w:rPr>
          <w:sz w:val="28"/>
          <w:szCs w:val="28"/>
        </w:rPr>
        <w:t xml:space="preserve"> </w:t>
      </w:r>
      <w:proofErr w:type="spellStart"/>
      <w:r w:rsidR="00C757DE" w:rsidRPr="00C757DE">
        <w:rPr>
          <w:b/>
          <w:sz w:val="28"/>
          <w:szCs w:val="28"/>
        </w:rPr>
        <w:t>ПРИЗНАВАЯ</w:t>
      </w:r>
      <w:proofErr w:type="spellEnd"/>
      <w:r w:rsidR="00C757DE">
        <w:rPr>
          <w:sz w:val="28"/>
          <w:szCs w:val="28"/>
        </w:rPr>
        <w:t xml:space="preserve"> </w:t>
      </w:r>
      <w:r w:rsidR="00C757DE" w:rsidRPr="00C757DE">
        <w:rPr>
          <w:sz w:val="28"/>
          <w:szCs w:val="28"/>
        </w:rPr>
        <w:t>(</w:t>
      </w:r>
      <w:r w:rsidR="00C757DE" w:rsidRPr="00C757DE">
        <w:rPr>
          <w:i/>
          <w:sz w:val="28"/>
          <w:szCs w:val="28"/>
        </w:rPr>
        <w:t>предложение НЦА</w:t>
      </w:r>
      <w:r w:rsidR="00C757DE" w:rsidRPr="00C757DE">
        <w:rPr>
          <w:sz w:val="28"/>
          <w:szCs w:val="28"/>
        </w:rPr>
        <w:t>)</w:t>
      </w:r>
      <w:r w:rsidR="00C757DE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strike/>
          <w:kern w:val="28"/>
          <w:sz w:val="28"/>
          <w:szCs w:val="28"/>
        </w:rPr>
        <w:t>руководствуясь</w:t>
      </w:r>
      <w:r w:rsidRPr="00586119">
        <w:rPr>
          <w:kern w:val="28"/>
          <w:sz w:val="28"/>
          <w:szCs w:val="28"/>
        </w:rPr>
        <w:t xml:space="preserve"> </w:t>
      </w:r>
      <w:proofErr w:type="spellStart"/>
      <w:r w:rsidR="00C757DE" w:rsidRPr="00C757DE">
        <w:rPr>
          <w:b/>
          <w:kern w:val="28"/>
          <w:sz w:val="28"/>
          <w:szCs w:val="28"/>
        </w:rPr>
        <w:t>РУКОВОДСТВУЯСЬ</w:t>
      </w:r>
      <w:proofErr w:type="spellEnd"/>
      <w:r w:rsidR="00C757DE">
        <w:rPr>
          <w:kern w:val="28"/>
          <w:sz w:val="28"/>
          <w:szCs w:val="28"/>
        </w:rPr>
        <w:t xml:space="preserve"> </w:t>
      </w:r>
      <w:r w:rsidR="00C757DE" w:rsidRPr="00C757DE">
        <w:rPr>
          <w:kern w:val="28"/>
          <w:sz w:val="28"/>
          <w:szCs w:val="28"/>
        </w:rPr>
        <w:t>(</w:t>
      </w:r>
      <w:r w:rsidR="00C757DE" w:rsidRPr="00C757DE">
        <w:rPr>
          <w:i/>
          <w:kern w:val="28"/>
          <w:sz w:val="28"/>
          <w:szCs w:val="28"/>
        </w:rPr>
        <w:t>предложение НЦА</w:t>
      </w:r>
      <w:r w:rsidR="00C757DE" w:rsidRPr="00C757DE">
        <w:rPr>
          <w:kern w:val="28"/>
          <w:sz w:val="28"/>
          <w:szCs w:val="28"/>
        </w:rPr>
        <w:t>)</w:t>
      </w:r>
      <w:r w:rsidR="00C757DE">
        <w:rPr>
          <w:kern w:val="28"/>
          <w:sz w:val="28"/>
          <w:szCs w:val="28"/>
        </w:rPr>
        <w:t xml:space="preserve"> </w:t>
      </w:r>
      <w:r w:rsidRPr="00586119">
        <w:rPr>
          <w:kern w:val="28"/>
          <w:sz w:val="28"/>
          <w:szCs w:val="28"/>
        </w:rPr>
        <w:t>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strike/>
          <w:kern w:val="28"/>
          <w:sz w:val="28"/>
          <w:szCs w:val="28"/>
        </w:rPr>
        <w:t>принимая</w:t>
      </w:r>
      <w:r w:rsidRPr="00972E41">
        <w:rPr>
          <w:kern w:val="28"/>
          <w:sz w:val="28"/>
          <w:szCs w:val="28"/>
        </w:rPr>
        <w:t xml:space="preserve"> </w:t>
      </w:r>
      <w:proofErr w:type="spellStart"/>
      <w:r w:rsidR="00C757DE" w:rsidRPr="00C757DE">
        <w:rPr>
          <w:b/>
          <w:kern w:val="28"/>
          <w:sz w:val="28"/>
          <w:szCs w:val="28"/>
        </w:rPr>
        <w:t>ПРИНИМАЯ</w:t>
      </w:r>
      <w:proofErr w:type="spellEnd"/>
      <w:r w:rsidR="00C757DE">
        <w:rPr>
          <w:kern w:val="28"/>
          <w:sz w:val="28"/>
          <w:szCs w:val="28"/>
        </w:rPr>
        <w:t xml:space="preserve"> </w:t>
      </w:r>
      <w:r w:rsidR="00C757DE" w:rsidRPr="00C757DE">
        <w:rPr>
          <w:kern w:val="28"/>
          <w:sz w:val="28"/>
          <w:szCs w:val="28"/>
        </w:rPr>
        <w:t>(</w:t>
      </w:r>
      <w:r w:rsidR="00C757DE" w:rsidRPr="00C757DE">
        <w:rPr>
          <w:i/>
          <w:kern w:val="28"/>
          <w:sz w:val="28"/>
          <w:szCs w:val="28"/>
        </w:rPr>
        <w:t>предложение НЦА</w:t>
      </w:r>
      <w:r w:rsidR="00C757DE" w:rsidRPr="00C757DE">
        <w:rPr>
          <w:kern w:val="28"/>
          <w:sz w:val="28"/>
          <w:szCs w:val="28"/>
        </w:rPr>
        <w:t>)</w:t>
      </w:r>
      <w:r w:rsidR="00C757DE">
        <w:rPr>
          <w:kern w:val="28"/>
          <w:sz w:val="28"/>
          <w:szCs w:val="28"/>
        </w:rPr>
        <w:t xml:space="preserve"> </w:t>
      </w:r>
      <w:r w:rsidRPr="00972E41">
        <w:rPr>
          <w:kern w:val="28"/>
          <w:sz w:val="28"/>
          <w:szCs w:val="28"/>
        </w:rPr>
        <w:t>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strike/>
          <w:sz w:val="28"/>
          <w:szCs w:val="28"/>
        </w:rPr>
        <w:t>стремясь</w:t>
      </w:r>
      <w:r w:rsidRPr="00586119">
        <w:rPr>
          <w:sz w:val="28"/>
          <w:szCs w:val="28"/>
        </w:rPr>
        <w:t xml:space="preserve"> </w:t>
      </w:r>
      <w:proofErr w:type="spellStart"/>
      <w:r w:rsidR="00C757DE" w:rsidRPr="00C757DE">
        <w:rPr>
          <w:b/>
          <w:sz w:val="28"/>
          <w:szCs w:val="28"/>
        </w:rPr>
        <w:t>СТРЕМЯСЬ</w:t>
      </w:r>
      <w:proofErr w:type="spellEnd"/>
      <w:r w:rsidR="00C757DE">
        <w:rPr>
          <w:sz w:val="28"/>
          <w:szCs w:val="28"/>
        </w:rPr>
        <w:t xml:space="preserve"> </w:t>
      </w:r>
      <w:r w:rsidR="00C757DE" w:rsidRPr="00C757DE">
        <w:rPr>
          <w:sz w:val="28"/>
          <w:szCs w:val="28"/>
        </w:rPr>
        <w:t>(</w:t>
      </w:r>
      <w:r w:rsidR="00C757DE" w:rsidRPr="00C757DE">
        <w:rPr>
          <w:i/>
          <w:sz w:val="28"/>
          <w:szCs w:val="28"/>
        </w:rPr>
        <w:t>предложение НЦА</w:t>
      </w:r>
      <w:r w:rsidR="00C757DE" w:rsidRPr="00C757DE">
        <w:rPr>
          <w:sz w:val="28"/>
          <w:szCs w:val="28"/>
        </w:rPr>
        <w:t>)</w:t>
      </w:r>
      <w:r w:rsidR="00C757DE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7B356F">
        <w:rPr>
          <w:sz w:val="28"/>
          <w:szCs w:val="28"/>
        </w:rPr>
        <w:t xml:space="preserve">государств-участников </w:t>
      </w:r>
      <w:r w:rsidR="008C6E16" w:rsidRPr="0060565C">
        <w:rPr>
          <w:sz w:val="28"/>
          <w:szCs w:val="28"/>
        </w:rPr>
        <w:t>С</w:t>
      </w:r>
      <w:r w:rsidR="007B356F">
        <w:rPr>
          <w:sz w:val="28"/>
          <w:szCs w:val="28"/>
        </w:rPr>
        <w:t>оглашения</w:t>
      </w:r>
      <w:r w:rsidR="008C6E16" w:rsidRPr="0060565C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3B6A44" w:rsidRDefault="003B6A44" w:rsidP="004D74D3">
      <w:pPr>
        <w:ind w:firstLine="708"/>
        <w:jc w:val="both"/>
        <w:rPr>
          <w:i/>
          <w:sz w:val="28"/>
          <w:szCs w:val="28"/>
        </w:rPr>
      </w:pPr>
      <w:r w:rsidRPr="003B6A44">
        <w:rPr>
          <w:i/>
          <w:sz w:val="28"/>
          <w:szCs w:val="28"/>
        </w:rPr>
        <w:t>Дополнить абзацем:</w:t>
      </w:r>
    </w:p>
    <w:p w:rsidR="0009545B" w:rsidRDefault="0009545B" w:rsidP="0009545B">
      <w:pPr>
        <w:ind w:firstLine="708"/>
        <w:jc w:val="both"/>
        <w:rPr>
          <w:i/>
          <w:sz w:val="28"/>
          <w:szCs w:val="28"/>
        </w:rPr>
      </w:pPr>
      <w:r w:rsidRPr="00D10F3C">
        <w:rPr>
          <w:b/>
          <w:i/>
          <w:sz w:val="28"/>
          <w:szCs w:val="28"/>
          <w:shd w:val="clear" w:color="auto" w:fill="FFFFFF" w:themeFill="background1"/>
        </w:rPr>
        <w:t xml:space="preserve">В целях дальнейших </w:t>
      </w:r>
      <w:r w:rsidR="00D10F3C" w:rsidRPr="00D10F3C">
        <w:rPr>
          <w:b/>
          <w:i/>
          <w:sz w:val="28"/>
          <w:szCs w:val="28"/>
          <w:shd w:val="clear" w:color="auto" w:fill="FFFFFF" w:themeFill="background1"/>
        </w:rPr>
        <w:t xml:space="preserve">совместных </w:t>
      </w:r>
      <w:r w:rsidRPr="00D10F3C">
        <w:rPr>
          <w:b/>
          <w:i/>
          <w:sz w:val="28"/>
          <w:szCs w:val="28"/>
          <w:shd w:val="clear" w:color="auto" w:fill="FFFFFF" w:themeFill="background1"/>
        </w:rPr>
        <w:t>действий Сторон по устранению технических барьеров во взаимной торговле</w:t>
      </w:r>
      <w:r w:rsidR="00D10F3C" w:rsidRPr="00D10F3C">
        <w:rPr>
          <w:b/>
          <w:i/>
          <w:sz w:val="28"/>
          <w:szCs w:val="28"/>
          <w:shd w:val="clear" w:color="auto" w:fill="FFFFFF" w:themeFill="background1"/>
        </w:rPr>
        <w:t>, к</w:t>
      </w:r>
      <w:r w:rsidRPr="00D10F3C">
        <w:rPr>
          <w:b/>
          <w:i/>
          <w:sz w:val="28"/>
          <w:szCs w:val="28"/>
        </w:rPr>
        <w:t>аждая Сторона признает аккредитацию, предоставленную национальным органом по аккредитации</w:t>
      </w:r>
      <w:r w:rsidRPr="00D10F3C">
        <w:rPr>
          <w:b/>
          <w:i/>
          <w:iCs/>
          <w:sz w:val="28"/>
          <w:szCs w:val="28"/>
        </w:rPr>
        <w:t xml:space="preserve"> другого государства-участника настоящего Соглашения</w:t>
      </w:r>
      <w:r w:rsidRPr="00D10F3C">
        <w:rPr>
          <w:b/>
          <w:i/>
          <w:sz w:val="28"/>
          <w:szCs w:val="28"/>
        </w:rPr>
        <w:t xml:space="preserve"> в определенной области органам по оценке соответствия, зарегистрированным в национальной юрисдикции</w:t>
      </w:r>
      <w:r w:rsidRPr="00D10F3C">
        <w:rPr>
          <w:b/>
          <w:i/>
          <w:iCs/>
          <w:sz w:val="28"/>
          <w:szCs w:val="28"/>
        </w:rPr>
        <w:t xml:space="preserve"> этого государства</w:t>
      </w:r>
      <w:r w:rsidRPr="00D10F3C">
        <w:rPr>
          <w:b/>
          <w:i/>
          <w:sz w:val="28"/>
          <w:szCs w:val="28"/>
        </w:rPr>
        <w:t xml:space="preserve">, в качестве эквивалентной аккредитации, предоставленной  национальным органом по аккредитации </w:t>
      </w:r>
      <w:r w:rsidR="00D10F3C" w:rsidRPr="00D10F3C">
        <w:rPr>
          <w:b/>
          <w:i/>
          <w:sz w:val="28"/>
          <w:szCs w:val="28"/>
        </w:rPr>
        <w:t xml:space="preserve">своего государства </w:t>
      </w:r>
      <w:r w:rsidRPr="00D10F3C">
        <w:rPr>
          <w:b/>
          <w:i/>
          <w:sz w:val="28"/>
          <w:szCs w:val="28"/>
        </w:rPr>
        <w:t>в соответствующей области</w:t>
      </w:r>
      <w:r w:rsidR="00D10F3C">
        <w:rPr>
          <w:i/>
          <w:sz w:val="28"/>
          <w:szCs w:val="28"/>
        </w:rPr>
        <w:t xml:space="preserve"> (предложение </w:t>
      </w:r>
      <w:proofErr w:type="spellStart"/>
      <w:r w:rsidR="00D10F3C">
        <w:rPr>
          <w:i/>
          <w:sz w:val="28"/>
          <w:szCs w:val="28"/>
        </w:rPr>
        <w:t>Росаккредитации</w:t>
      </w:r>
      <w:proofErr w:type="spellEnd"/>
      <w:r w:rsidR="0095586F">
        <w:rPr>
          <w:i/>
          <w:sz w:val="28"/>
          <w:szCs w:val="28"/>
        </w:rPr>
        <w:t>; поддерживает ГНО «Национальный орган по аккредитации» Республики Армения</w:t>
      </w:r>
      <w:r w:rsidR="00D10F3C">
        <w:rPr>
          <w:i/>
          <w:sz w:val="28"/>
          <w:szCs w:val="28"/>
        </w:rPr>
        <w:t>)</w:t>
      </w:r>
      <w:r w:rsidRPr="0009545B">
        <w:rPr>
          <w:i/>
          <w:sz w:val="28"/>
          <w:szCs w:val="28"/>
        </w:rPr>
        <w:t>.</w:t>
      </w:r>
    </w:p>
    <w:p w:rsidR="003B6A44" w:rsidRDefault="00D34D39" w:rsidP="00D34D39">
      <w:pPr>
        <w:ind w:firstLine="708"/>
        <w:jc w:val="both"/>
        <w:rPr>
          <w:i/>
          <w:sz w:val="28"/>
          <w:szCs w:val="28"/>
        </w:rPr>
      </w:pPr>
      <w:r w:rsidRPr="00D10F3C">
        <w:rPr>
          <w:i/>
          <w:sz w:val="28"/>
          <w:szCs w:val="28"/>
        </w:rPr>
        <w:t xml:space="preserve">Признание эквивалентности аккредитации в соответствии с настоящим Соглашением не может рассматриваться как наличие аккредитации в национальной системе аккредитации </w:t>
      </w:r>
      <w:r w:rsidRPr="008D7ABC">
        <w:rPr>
          <w:b/>
          <w:i/>
          <w:strike/>
          <w:sz w:val="28"/>
          <w:szCs w:val="28"/>
        </w:rPr>
        <w:t>Стороны</w:t>
      </w:r>
      <w:r w:rsidRPr="008D7ABC">
        <w:rPr>
          <w:b/>
          <w:i/>
          <w:sz w:val="28"/>
          <w:szCs w:val="28"/>
        </w:rPr>
        <w:t xml:space="preserve"> </w:t>
      </w:r>
      <w:r w:rsidR="008D7ABC" w:rsidRPr="008D7ABC">
        <w:rPr>
          <w:b/>
          <w:i/>
          <w:sz w:val="28"/>
          <w:szCs w:val="28"/>
        </w:rPr>
        <w:t>государства-участника настоящего Соглашения</w:t>
      </w:r>
      <w:r w:rsidR="008D7ABC">
        <w:rPr>
          <w:i/>
          <w:sz w:val="28"/>
          <w:szCs w:val="28"/>
        </w:rPr>
        <w:t xml:space="preserve"> </w:t>
      </w:r>
      <w:r w:rsidRPr="00D10F3C">
        <w:rPr>
          <w:i/>
          <w:sz w:val="28"/>
          <w:szCs w:val="28"/>
        </w:rPr>
        <w:t xml:space="preserve">в случаях, когда такое требование установлено законодательством </w:t>
      </w:r>
      <w:r w:rsidRPr="008D7ABC">
        <w:rPr>
          <w:b/>
          <w:i/>
          <w:strike/>
          <w:sz w:val="28"/>
          <w:szCs w:val="28"/>
        </w:rPr>
        <w:t>Стороны</w:t>
      </w:r>
      <w:r w:rsidRPr="00D10F3C">
        <w:rPr>
          <w:i/>
          <w:sz w:val="28"/>
          <w:szCs w:val="28"/>
        </w:rPr>
        <w:t xml:space="preserve"> </w:t>
      </w:r>
      <w:r w:rsidR="008D7ABC" w:rsidRPr="008D7ABC">
        <w:rPr>
          <w:b/>
          <w:i/>
          <w:sz w:val="28"/>
          <w:szCs w:val="28"/>
        </w:rPr>
        <w:t>государства-участника настоящего Соглашения</w:t>
      </w:r>
      <w:r w:rsidR="008D7ABC" w:rsidRPr="008D7ABC">
        <w:rPr>
          <w:i/>
          <w:sz w:val="28"/>
          <w:szCs w:val="28"/>
        </w:rPr>
        <w:t xml:space="preserve"> </w:t>
      </w:r>
      <w:r w:rsidRPr="00D10F3C">
        <w:rPr>
          <w:i/>
          <w:sz w:val="28"/>
          <w:szCs w:val="28"/>
        </w:rPr>
        <w:t xml:space="preserve">в качестве </w:t>
      </w:r>
      <w:proofErr w:type="gramStart"/>
      <w:r w:rsidRPr="00D10F3C">
        <w:rPr>
          <w:i/>
          <w:sz w:val="28"/>
          <w:szCs w:val="28"/>
        </w:rPr>
        <w:t>условия осуществления конкретных видов деятельности</w:t>
      </w:r>
      <w:proofErr w:type="gramEnd"/>
      <w:r w:rsidRPr="00D10F3C">
        <w:rPr>
          <w:i/>
          <w:sz w:val="28"/>
          <w:szCs w:val="28"/>
        </w:rPr>
        <w:t xml:space="preserve"> по оценке соответствия. (предложение </w:t>
      </w:r>
      <w:proofErr w:type="spellStart"/>
      <w:r w:rsidRPr="00D10F3C">
        <w:rPr>
          <w:i/>
          <w:sz w:val="28"/>
          <w:szCs w:val="28"/>
        </w:rPr>
        <w:t>Росаккредитации</w:t>
      </w:r>
      <w:proofErr w:type="spellEnd"/>
      <w:r w:rsidR="0095586F">
        <w:rPr>
          <w:i/>
          <w:sz w:val="28"/>
          <w:szCs w:val="28"/>
        </w:rPr>
        <w:t xml:space="preserve">; </w:t>
      </w:r>
      <w:r w:rsidR="0095586F" w:rsidRPr="0095586F">
        <w:rPr>
          <w:i/>
          <w:sz w:val="28"/>
          <w:szCs w:val="28"/>
        </w:rPr>
        <w:t>поддерживает ГНО «Национальный орган по аккредитации» Республики Армения</w:t>
      </w:r>
      <w:r w:rsidRPr="00D10F3C">
        <w:rPr>
          <w:i/>
          <w:sz w:val="28"/>
          <w:szCs w:val="28"/>
        </w:rPr>
        <w:t>)</w:t>
      </w:r>
      <w:r w:rsidR="00D10F3C">
        <w:rPr>
          <w:i/>
          <w:sz w:val="28"/>
          <w:szCs w:val="28"/>
        </w:rPr>
        <w:t xml:space="preserve"> </w:t>
      </w:r>
    </w:p>
    <w:p w:rsidR="00C757DE" w:rsidRPr="00C757DE" w:rsidRDefault="00D34D39" w:rsidP="00C757DE">
      <w:pPr>
        <w:ind w:firstLine="708"/>
        <w:jc w:val="both"/>
        <w:rPr>
          <w:b/>
          <w:i/>
          <w:sz w:val="28"/>
          <w:szCs w:val="28"/>
        </w:rPr>
      </w:pPr>
      <w:r w:rsidRPr="003B6A44">
        <w:rPr>
          <w:i/>
          <w:sz w:val="28"/>
          <w:szCs w:val="28"/>
        </w:rPr>
        <w:t xml:space="preserve">  </w:t>
      </w:r>
      <w:r w:rsidR="00C757DE" w:rsidRPr="00C757DE">
        <w:rPr>
          <w:b/>
          <w:i/>
          <w:sz w:val="28"/>
          <w:szCs w:val="28"/>
        </w:rPr>
        <w:t xml:space="preserve">Абзацы 2, 3 изложить в следующей редакции: </w:t>
      </w:r>
    </w:p>
    <w:p w:rsidR="00C757DE" w:rsidRPr="00C757DE" w:rsidRDefault="00C757DE" w:rsidP="00C757DE">
      <w:pPr>
        <w:ind w:firstLine="708"/>
        <w:jc w:val="both"/>
        <w:rPr>
          <w:b/>
          <w:i/>
          <w:sz w:val="28"/>
          <w:szCs w:val="28"/>
        </w:rPr>
      </w:pPr>
      <w:r w:rsidRPr="00C757DE">
        <w:rPr>
          <w:b/>
          <w:i/>
          <w:sz w:val="28"/>
          <w:szCs w:val="28"/>
        </w:rPr>
        <w:lastRenderedPageBreak/>
        <w:t>В целях дальнейшего устранения технических барьеров во взаимной торговле, каждая Сторона признает аккредитацию, предоставленную органом по аккредитации другой Стороны в определенной области ООС, зарегистрированным в юрисдикции этой Стороны, как эквивалентную аккредитации, предоставленной собственным органом по аккредитации в той же области.</w:t>
      </w:r>
    </w:p>
    <w:p w:rsidR="00C757DE" w:rsidRPr="00C757DE" w:rsidRDefault="00C757DE" w:rsidP="00C757DE">
      <w:pPr>
        <w:ind w:firstLine="708"/>
        <w:jc w:val="both"/>
        <w:rPr>
          <w:b/>
          <w:i/>
          <w:sz w:val="28"/>
          <w:szCs w:val="28"/>
        </w:rPr>
      </w:pPr>
      <w:r w:rsidRPr="00C757DE">
        <w:rPr>
          <w:b/>
          <w:i/>
          <w:sz w:val="28"/>
          <w:szCs w:val="28"/>
        </w:rPr>
        <w:t xml:space="preserve">При этом признание эквивалентности аккредитации не подменяет национальные процедуры аккредитации, если иное предусмотрено законодательством Стороны в качестве </w:t>
      </w:r>
      <w:proofErr w:type="gramStart"/>
      <w:r w:rsidRPr="00C757DE">
        <w:rPr>
          <w:b/>
          <w:i/>
          <w:sz w:val="28"/>
          <w:szCs w:val="28"/>
        </w:rPr>
        <w:t>условия осуществления конкретных видов деятельности</w:t>
      </w:r>
      <w:proofErr w:type="gramEnd"/>
      <w:r w:rsidRPr="00C757DE">
        <w:rPr>
          <w:b/>
          <w:i/>
          <w:sz w:val="28"/>
          <w:szCs w:val="28"/>
        </w:rPr>
        <w:t xml:space="preserve"> по оценке соответствия.</w:t>
      </w:r>
      <w:r>
        <w:rPr>
          <w:b/>
          <w:i/>
          <w:sz w:val="28"/>
          <w:szCs w:val="28"/>
        </w:rPr>
        <w:t xml:space="preserve"> (</w:t>
      </w:r>
      <w:r w:rsidRPr="00C757DE">
        <w:rPr>
          <w:i/>
          <w:sz w:val="28"/>
          <w:szCs w:val="28"/>
        </w:rPr>
        <w:t>предложение</w:t>
      </w:r>
      <w:r>
        <w:rPr>
          <w:b/>
          <w:i/>
          <w:sz w:val="28"/>
          <w:szCs w:val="28"/>
        </w:rPr>
        <w:t xml:space="preserve"> </w:t>
      </w:r>
      <w:r w:rsidRPr="00C757DE">
        <w:rPr>
          <w:i/>
          <w:sz w:val="28"/>
          <w:szCs w:val="28"/>
        </w:rPr>
        <w:t>НЦА</w:t>
      </w:r>
      <w:r>
        <w:rPr>
          <w:b/>
          <w:i/>
          <w:sz w:val="28"/>
          <w:szCs w:val="28"/>
        </w:rPr>
        <w:t>)</w:t>
      </w:r>
    </w:p>
    <w:p w:rsidR="00C757DE" w:rsidRPr="0009545B" w:rsidRDefault="00C757DE" w:rsidP="00C757DE">
      <w:pPr>
        <w:ind w:firstLine="708"/>
        <w:jc w:val="both"/>
        <w:rPr>
          <w:i/>
          <w:sz w:val="28"/>
          <w:szCs w:val="28"/>
        </w:rPr>
      </w:pPr>
    </w:p>
    <w:p w:rsidR="00D34D39" w:rsidRPr="003B6A44" w:rsidRDefault="00D34D39" w:rsidP="003B6A44">
      <w:pPr>
        <w:jc w:val="both"/>
        <w:rPr>
          <w:i/>
          <w:sz w:val="28"/>
          <w:szCs w:val="28"/>
        </w:rPr>
      </w:pP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A6BF7" w:rsidRDefault="00DA6BF7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Статью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2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изложить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в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следующей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редакции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: «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Термины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в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настоящем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Соглашении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используются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в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значениях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,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установленных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международным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стандартом ISO/IEC 17000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или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иными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международными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документами,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применяемыми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Сторонами по </w:t>
      </w:r>
      <w:proofErr w:type="spellStart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согласованию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.».</w:t>
      </w:r>
      <w:r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r w:rsidRPr="00DA6BF7">
        <w:rPr>
          <w:b/>
          <w:i/>
          <w:sz w:val="28"/>
          <w:szCs w:val="28"/>
          <w:lang w:eastAsia="en-US"/>
        </w:rPr>
        <w:t>(</w:t>
      </w:r>
      <w:r w:rsidRPr="00DA6BF7">
        <w:rPr>
          <w:i/>
          <w:sz w:val="28"/>
          <w:szCs w:val="28"/>
          <w:lang w:eastAsia="en-US"/>
        </w:rPr>
        <w:t>предложение</w:t>
      </w:r>
      <w:r w:rsidRPr="00DA6BF7">
        <w:rPr>
          <w:b/>
          <w:i/>
          <w:sz w:val="28"/>
          <w:szCs w:val="28"/>
          <w:lang w:eastAsia="en-US"/>
        </w:rPr>
        <w:t xml:space="preserve"> </w:t>
      </w:r>
      <w:r w:rsidRPr="00DA6BF7">
        <w:rPr>
          <w:i/>
          <w:sz w:val="28"/>
          <w:szCs w:val="28"/>
          <w:lang w:eastAsia="en-US"/>
        </w:rPr>
        <w:t>НЦА</w:t>
      </w:r>
      <w:r w:rsidRPr="00DA6BF7">
        <w:rPr>
          <w:b/>
          <w:i/>
          <w:sz w:val="28"/>
          <w:szCs w:val="28"/>
          <w:lang w:eastAsia="en-US"/>
        </w:rPr>
        <w:t>)</w:t>
      </w:r>
    </w:p>
    <w:p w:rsidR="00D565EC" w:rsidRPr="00D565EC" w:rsidRDefault="00D565EC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 w:rsidRPr="00A013F5">
        <w:rPr>
          <w:b/>
          <w:i/>
          <w:strike/>
          <w:sz w:val="28"/>
          <w:szCs w:val="28"/>
        </w:rPr>
        <w:t>Сторон</w:t>
      </w:r>
      <w:r w:rsidR="0060565C" w:rsidRPr="00A013F5">
        <w:rPr>
          <w:b/>
          <w:i/>
          <w:sz w:val="28"/>
          <w:szCs w:val="28"/>
        </w:rPr>
        <w:t xml:space="preserve"> </w:t>
      </w:r>
      <w:r w:rsidR="00A013F5" w:rsidRPr="00A013F5">
        <w:rPr>
          <w:b/>
          <w:i/>
          <w:sz w:val="28"/>
          <w:szCs w:val="28"/>
        </w:rPr>
        <w:t>государств-участников настоящего Соглашения</w:t>
      </w:r>
      <w:r w:rsidR="00A013F5">
        <w:rPr>
          <w:sz w:val="28"/>
          <w:szCs w:val="28"/>
        </w:rPr>
        <w:t xml:space="preserve"> (</w:t>
      </w:r>
      <w:r w:rsidR="00A013F5" w:rsidRPr="00A013F5">
        <w:rPr>
          <w:i/>
          <w:sz w:val="28"/>
          <w:szCs w:val="28"/>
        </w:rPr>
        <w:t>Бюро по стандартам</w:t>
      </w:r>
      <w:r w:rsidR="00A013F5">
        <w:rPr>
          <w:sz w:val="28"/>
          <w:szCs w:val="28"/>
        </w:rPr>
        <w:t xml:space="preserve">)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</w:t>
      </w:r>
      <w:r w:rsidR="00C61425" w:rsidRPr="00F27172">
        <w:rPr>
          <w:sz w:val="28"/>
          <w:szCs w:val="28"/>
        </w:rPr>
        <w:t xml:space="preserve">ООС </w:t>
      </w:r>
      <w:r w:rsidR="00AB0519" w:rsidRPr="00F27172">
        <w:rPr>
          <w:sz w:val="28"/>
          <w:szCs w:val="28"/>
        </w:rPr>
        <w:t xml:space="preserve">в национальной системе аккредитации </w:t>
      </w:r>
      <w:r w:rsidR="00AB0519" w:rsidRPr="00A013F5">
        <w:rPr>
          <w:b/>
          <w:i/>
          <w:strike/>
          <w:sz w:val="28"/>
          <w:szCs w:val="28"/>
        </w:rPr>
        <w:t>государства соответствующей Стороны</w:t>
      </w:r>
      <w:r w:rsidR="00A013F5" w:rsidRPr="00A013F5">
        <w:rPr>
          <w:b/>
          <w:i/>
          <w:sz w:val="28"/>
          <w:szCs w:val="28"/>
        </w:rPr>
        <w:t xml:space="preserve"> соответствующего государства-участника настоящего Соглашения</w:t>
      </w:r>
      <w:r w:rsidR="00A013F5">
        <w:rPr>
          <w:b/>
          <w:i/>
          <w:sz w:val="28"/>
          <w:szCs w:val="28"/>
        </w:rPr>
        <w:t xml:space="preserve"> </w:t>
      </w:r>
      <w:r w:rsidR="00A013F5" w:rsidRPr="00A013F5">
        <w:rPr>
          <w:i/>
          <w:sz w:val="28"/>
          <w:szCs w:val="28"/>
        </w:rPr>
        <w:t>(Бюро по стандартам)</w:t>
      </w:r>
      <w:r w:rsidRPr="00F27172">
        <w:rPr>
          <w:sz w:val="28"/>
          <w:szCs w:val="28"/>
        </w:rPr>
        <w:t>;</w:t>
      </w:r>
      <w:r w:rsidR="00C61425" w:rsidRPr="00F27172">
        <w:rPr>
          <w:sz w:val="28"/>
          <w:szCs w:val="28"/>
        </w:rPr>
        <w:t xml:space="preserve"> </w:t>
      </w:r>
    </w:p>
    <w:p w:rsidR="00086A0D" w:rsidRPr="00086A0D" w:rsidRDefault="00086A0D" w:rsidP="00D51CD4">
      <w:pPr>
        <w:pStyle w:val="af3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20" w:lineRule="exact"/>
        <w:ind w:left="0" w:firstLine="709"/>
        <w:jc w:val="both"/>
        <w:rPr>
          <w:sz w:val="28"/>
          <w:szCs w:val="28"/>
        </w:rPr>
      </w:pPr>
      <w:r w:rsidRPr="00086A0D">
        <w:rPr>
          <w:b/>
          <w:i/>
          <w:sz w:val="28"/>
          <w:szCs w:val="28"/>
        </w:rPr>
        <w:t>органы по аккредитации Сторон наделены полномочиями в соответствии с национальным законодательством и осуществляют аккредитацию в рамках национальной системы аккредитации; 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0052F">
        <w:rPr>
          <w:b/>
          <w:i/>
          <w:strike/>
          <w:sz w:val="28"/>
          <w:szCs w:val="28"/>
        </w:rPr>
        <w:t>в государствах</w:t>
      </w:r>
      <w:r w:rsidR="0000052F" w:rsidRPr="0000052F">
        <w:rPr>
          <w:b/>
          <w:i/>
          <w:strike/>
          <w:sz w:val="28"/>
          <w:szCs w:val="28"/>
        </w:rPr>
        <w:t xml:space="preserve"> Сторон</w:t>
      </w:r>
      <w:r w:rsidR="0000052F" w:rsidRPr="0000052F">
        <w:rPr>
          <w:b/>
          <w:i/>
          <w:sz w:val="28"/>
          <w:szCs w:val="28"/>
        </w:rPr>
        <w:t xml:space="preserve"> в государствах</w:t>
      </w:r>
      <w:r w:rsidR="00354525" w:rsidRPr="0000052F">
        <w:rPr>
          <w:b/>
          <w:i/>
          <w:sz w:val="28"/>
          <w:szCs w:val="28"/>
        </w:rPr>
        <w:t>-участниках настоящего Соглашения</w:t>
      </w:r>
      <w:r w:rsidRPr="0000052F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>система аккредитации</w:t>
      </w:r>
      <w:r w:rsidR="00764B0A">
        <w:rPr>
          <w:sz w:val="28"/>
          <w:szCs w:val="28"/>
        </w:rPr>
        <w:t xml:space="preserve">, </w:t>
      </w:r>
      <w:proofErr w:type="spellStart"/>
      <w:r w:rsidR="00764B0A" w:rsidRPr="00F27172">
        <w:rPr>
          <w:sz w:val="28"/>
          <w:szCs w:val="28"/>
        </w:rPr>
        <w:t>котор</w:t>
      </w:r>
      <w:r w:rsidR="00764B0A" w:rsidRPr="0095586F">
        <w:rPr>
          <w:b/>
          <w:strike/>
          <w:sz w:val="28"/>
          <w:szCs w:val="28"/>
        </w:rPr>
        <w:t>ые</w:t>
      </w:r>
      <w:r w:rsidR="0095586F" w:rsidRPr="0095586F">
        <w:rPr>
          <w:b/>
          <w:sz w:val="28"/>
          <w:szCs w:val="28"/>
        </w:rPr>
        <w:t>ая</w:t>
      </w:r>
      <w:proofErr w:type="spellEnd"/>
      <w:r w:rsidR="0095586F">
        <w:rPr>
          <w:sz w:val="28"/>
          <w:szCs w:val="28"/>
        </w:rPr>
        <w:t xml:space="preserve"> </w:t>
      </w:r>
      <w:proofErr w:type="spellStart"/>
      <w:r w:rsidR="00DE30A7" w:rsidRPr="00F27172">
        <w:rPr>
          <w:sz w:val="28"/>
          <w:szCs w:val="28"/>
        </w:rPr>
        <w:t>предусматрива</w:t>
      </w:r>
      <w:r w:rsidR="00DE30A7" w:rsidRPr="0095586F">
        <w:rPr>
          <w:b/>
          <w:strike/>
          <w:sz w:val="28"/>
          <w:szCs w:val="28"/>
        </w:rPr>
        <w:t>ют</w:t>
      </w:r>
      <w:r w:rsidR="0095586F" w:rsidRPr="0095586F">
        <w:rPr>
          <w:b/>
          <w:sz w:val="28"/>
          <w:szCs w:val="28"/>
        </w:rPr>
        <w:t>ет</w:t>
      </w:r>
      <w:proofErr w:type="spellEnd"/>
      <w:r w:rsidR="0095586F">
        <w:rPr>
          <w:b/>
          <w:sz w:val="28"/>
          <w:szCs w:val="28"/>
        </w:rPr>
        <w:t xml:space="preserve"> </w:t>
      </w:r>
      <w:r w:rsidR="0095586F" w:rsidRPr="0095586F">
        <w:rPr>
          <w:sz w:val="28"/>
          <w:szCs w:val="28"/>
        </w:rPr>
        <w:t>(</w:t>
      </w:r>
      <w:proofErr w:type="spellStart"/>
      <w:r w:rsidR="0095586F" w:rsidRPr="0095586F">
        <w:rPr>
          <w:i/>
          <w:sz w:val="28"/>
          <w:szCs w:val="28"/>
        </w:rPr>
        <w:t>Росаккредитация</w:t>
      </w:r>
      <w:proofErr w:type="spellEnd"/>
      <w:r w:rsidR="0095586F" w:rsidRPr="0095586F">
        <w:rPr>
          <w:sz w:val="28"/>
          <w:szCs w:val="28"/>
        </w:rPr>
        <w:t>)</w:t>
      </w:r>
      <w:r w:rsidRPr="00F27172">
        <w:rPr>
          <w:sz w:val="28"/>
          <w:szCs w:val="28"/>
        </w:rPr>
        <w:t xml:space="preserve"> </w:t>
      </w:r>
      <w:r w:rsidR="00764B0A" w:rsidRPr="00F27172">
        <w:rPr>
          <w:sz w:val="28"/>
          <w:szCs w:val="28"/>
        </w:rPr>
        <w:t>эквивалентные</w:t>
      </w:r>
      <w:r w:rsidR="006F2EBD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правила и процедур</w:t>
      </w:r>
      <w:r w:rsidR="00FF40CE" w:rsidRPr="00F27172">
        <w:rPr>
          <w:sz w:val="28"/>
          <w:szCs w:val="28"/>
        </w:rPr>
        <w:t>ы</w:t>
      </w:r>
      <w:r w:rsidRPr="00F27172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="006F2EBD" w:rsidRPr="00F27172">
        <w:rPr>
          <w:sz w:val="28"/>
          <w:szCs w:val="28"/>
        </w:rPr>
        <w:t xml:space="preserve">идентичных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6B758C">
        <w:rPr>
          <w:b/>
          <w:i/>
          <w:strike/>
          <w:sz w:val="28"/>
          <w:szCs w:val="28"/>
        </w:rPr>
        <w:t>Сторонами</w:t>
      </w:r>
      <w:r w:rsidR="006B758C" w:rsidRPr="006B758C">
        <w:rPr>
          <w:b/>
          <w:i/>
          <w:sz w:val="28"/>
          <w:szCs w:val="28"/>
        </w:rPr>
        <w:t xml:space="preserve"> государства</w:t>
      </w:r>
      <w:r w:rsidR="006B758C">
        <w:rPr>
          <w:b/>
          <w:i/>
          <w:sz w:val="28"/>
          <w:szCs w:val="28"/>
        </w:rPr>
        <w:t>ми</w:t>
      </w:r>
      <w:r w:rsidR="006B758C" w:rsidRPr="006B758C">
        <w:rPr>
          <w:b/>
          <w:i/>
          <w:sz w:val="28"/>
          <w:szCs w:val="28"/>
        </w:rPr>
        <w:t>-участника</w:t>
      </w:r>
      <w:r w:rsidR="006B758C">
        <w:rPr>
          <w:b/>
          <w:i/>
          <w:sz w:val="28"/>
          <w:szCs w:val="28"/>
        </w:rPr>
        <w:t>ми</w:t>
      </w:r>
      <w:r w:rsidR="006B758C" w:rsidRPr="006B758C">
        <w:rPr>
          <w:b/>
          <w:i/>
          <w:sz w:val="28"/>
          <w:szCs w:val="28"/>
        </w:rPr>
        <w:t xml:space="preserve">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8D7EB3" w:rsidRPr="008D7EB3">
        <w:rPr>
          <w:sz w:val="28"/>
          <w:szCs w:val="28"/>
        </w:rPr>
        <w:t>;</w:t>
      </w:r>
    </w:p>
    <w:p w:rsidR="00086A0D" w:rsidRPr="00086A0D" w:rsidRDefault="00086A0D" w:rsidP="00086A0D">
      <w:pPr>
        <w:pStyle w:val="af3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20" w:lineRule="exact"/>
        <w:ind w:left="0" w:firstLine="709"/>
        <w:jc w:val="both"/>
        <w:rPr>
          <w:sz w:val="28"/>
          <w:szCs w:val="28"/>
        </w:rPr>
      </w:pPr>
      <w:r w:rsidRPr="00086A0D">
        <w:rPr>
          <w:b/>
          <w:i/>
          <w:sz w:val="28"/>
          <w:szCs w:val="28"/>
        </w:rPr>
        <w:t>национальные системы аккредитации Сторон обеспечивают сопоставимые процедуры и правила, основанные на международных стандартах в сфере аккредитации;</w:t>
      </w:r>
      <w:r>
        <w:rPr>
          <w:b/>
          <w:i/>
          <w:sz w:val="28"/>
          <w:szCs w:val="28"/>
        </w:rPr>
        <w:t xml:space="preserve">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lastRenderedPageBreak/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 w:rsidRPr="00354525">
        <w:rPr>
          <w:b/>
          <w:i/>
          <w:strike/>
          <w:sz w:val="28"/>
          <w:szCs w:val="28"/>
        </w:rPr>
        <w:t>Сторон</w:t>
      </w:r>
      <w:r w:rsidR="0060565C" w:rsidRPr="00354525">
        <w:rPr>
          <w:b/>
          <w:i/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 xml:space="preserve">государств-участников настоящего Соглашения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</w:t>
      </w:r>
      <w:r w:rsidR="0060565C" w:rsidRPr="0000052F">
        <w:rPr>
          <w:b/>
          <w:i/>
          <w:strike/>
          <w:sz w:val="28"/>
          <w:szCs w:val="28"/>
        </w:rPr>
        <w:t>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C61425">
        <w:rPr>
          <w:sz w:val="28"/>
          <w:szCs w:val="28"/>
        </w:rPr>
        <w:t>;</w:t>
      </w:r>
    </w:p>
    <w:p w:rsidR="00086A0D" w:rsidRPr="00086A0D" w:rsidRDefault="00086A0D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  <w:highlight w:val="lightGray"/>
        </w:rPr>
      </w:pPr>
      <w:r w:rsidRPr="00086A0D">
        <w:rPr>
          <w:b/>
          <w:i/>
          <w:sz w:val="28"/>
          <w:szCs w:val="28"/>
        </w:rPr>
        <w:t>c)</w:t>
      </w:r>
      <w:r w:rsidRPr="00086A0D">
        <w:rPr>
          <w:b/>
          <w:i/>
          <w:sz w:val="28"/>
          <w:szCs w:val="28"/>
        </w:rPr>
        <w:tab/>
        <w:t>правила и процедуры аккредитации документированы и доступны для заинтересованных сторон;</w:t>
      </w:r>
      <w:r>
        <w:rPr>
          <w:b/>
          <w:i/>
          <w:sz w:val="28"/>
          <w:szCs w:val="28"/>
        </w:rPr>
        <w:t xml:space="preserve">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</w:t>
      </w:r>
      <w:r w:rsidR="00C0455B">
        <w:rPr>
          <w:sz w:val="28"/>
          <w:szCs w:val="28"/>
        </w:rPr>
        <w:t xml:space="preserve"> </w:t>
      </w:r>
      <w:proofErr w:type="gramStart"/>
      <w:r w:rsidR="00C0455B" w:rsidRPr="00F27172">
        <w:rPr>
          <w:sz w:val="28"/>
          <w:szCs w:val="28"/>
        </w:rPr>
        <w:t xml:space="preserve">конфиденциальности, </w:t>
      </w:r>
      <w:r w:rsidR="00290E33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объективности</w:t>
      </w:r>
      <w:proofErr w:type="gramEnd"/>
      <w:r w:rsidRPr="00F27172">
        <w:rPr>
          <w:sz w:val="28"/>
          <w:szCs w:val="28"/>
        </w:rPr>
        <w:t>, беспристрастности и независимости органа по аккредитации при принятии решений по вопросам аккредитации</w:t>
      </w:r>
      <w:r w:rsidR="00AE1F38" w:rsidRPr="00F27172">
        <w:rPr>
          <w:sz w:val="28"/>
          <w:szCs w:val="28"/>
        </w:rPr>
        <w:t>,</w:t>
      </w:r>
      <w:r w:rsidR="00AE1F38" w:rsidRPr="00F27172">
        <w:t xml:space="preserve"> </w:t>
      </w:r>
      <w:r w:rsidR="00AE1F38" w:rsidRPr="00F27172">
        <w:rPr>
          <w:sz w:val="28"/>
          <w:szCs w:val="28"/>
        </w:rPr>
        <w:t>а также добровольности, единство правил и равенство условий для ООС, претендующих на аккредитацию</w:t>
      </w:r>
      <w:r w:rsidRPr="00F27172">
        <w:rPr>
          <w:sz w:val="28"/>
          <w:szCs w:val="28"/>
        </w:rPr>
        <w:t>;</w:t>
      </w:r>
    </w:p>
    <w:p w:rsidR="00AE6298" w:rsidRPr="00AE6298" w:rsidRDefault="00AE6298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AE6298">
        <w:rPr>
          <w:b/>
          <w:i/>
          <w:sz w:val="28"/>
          <w:szCs w:val="28"/>
        </w:rPr>
        <w:t>d)</w:t>
      </w:r>
      <w:r w:rsidRPr="00AE6298">
        <w:rPr>
          <w:b/>
          <w:i/>
          <w:sz w:val="28"/>
          <w:szCs w:val="28"/>
        </w:rPr>
        <w:tab/>
        <w:t xml:space="preserve">обеспечиваются принципы компетентности, объективности, независимости, конфиденциальности и беспристрастности при принятии решений по вопросам аккредитации;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AE6298" w:rsidRPr="00AE6298" w:rsidRDefault="00AE6298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AE6298">
        <w:rPr>
          <w:b/>
          <w:i/>
          <w:sz w:val="28"/>
          <w:szCs w:val="28"/>
        </w:rPr>
        <w:t>e)</w:t>
      </w:r>
      <w:r w:rsidRPr="00AE6298">
        <w:rPr>
          <w:b/>
          <w:i/>
          <w:sz w:val="28"/>
          <w:szCs w:val="28"/>
        </w:rPr>
        <w:tab/>
        <w:t xml:space="preserve">не допускается совмещение функций аккредитации и оценки соответствия одним органом;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не допускаются ограничение конкуренции и создание препятствий для пользования услугами </w:t>
      </w:r>
      <w:r w:rsidR="00AE1F38" w:rsidRPr="00F27172">
        <w:rPr>
          <w:sz w:val="28"/>
          <w:szCs w:val="28"/>
        </w:rPr>
        <w:t>ООС</w:t>
      </w:r>
      <w:r w:rsidR="00AE1F38">
        <w:rPr>
          <w:sz w:val="28"/>
          <w:szCs w:val="28"/>
        </w:rPr>
        <w:t>;</w:t>
      </w:r>
    </w:p>
    <w:p w:rsidR="00AE6298" w:rsidRDefault="00AE6298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6298">
        <w:rPr>
          <w:sz w:val="28"/>
          <w:szCs w:val="28"/>
        </w:rPr>
        <w:t>f</w:t>
      </w:r>
      <w:r w:rsidRPr="00AE6298">
        <w:rPr>
          <w:b/>
          <w:i/>
          <w:sz w:val="28"/>
          <w:szCs w:val="28"/>
        </w:rPr>
        <w:t>)</w:t>
      </w:r>
      <w:r w:rsidRPr="00AE6298">
        <w:rPr>
          <w:b/>
          <w:i/>
          <w:sz w:val="28"/>
          <w:szCs w:val="28"/>
        </w:rPr>
        <w:tab/>
        <w:t>исключаются действия, ограничивающие конкуренцию и доступ к услугам аккредитованных ООС;</w:t>
      </w:r>
      <w:r>
        <w:rPr>
          <w:b/>
          <w:i/>
          <w:sz w:val="28"/>
          <w:szCs w:val="28"/>
        </w:rPr>
        <w:t xml:space="preserve">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обеспечива</w:t>
      </w:r>
      <w:r w:rsidR="00A27569">
        <w:rPr>
          <w:sz w:val="28"/>
          <w:szCs w:val="28"/>
        </w:rPr>
        <w:t>е</w:t>
      </w:r>
      <w:r w:rsidRPr="00600F64">
        <w:rPr>
          <w:sz w:val="28"/>
          <w:szCs w:val="28"/>
        </w:rPr>
        <w:t xml:space="preserve">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AE6298" w:rsidRDefault="00AE629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6298">
        <w:rPr>
          <w:b/>
          <w:i/>
          <w:sz w:val="28"/>
          <w:szCs w:val="28"/>
        </w:rPr>
        <w:t>g)</w:t>
      </w:r>
      <w:r w:rsidRPr="00AE6298">
        <w:rPr>
          <w:b/>
          <w:i/>
          <w:sz w:val="28"/>
          <w:szCs w:val="28"/>
        </w:rPr>
        <w:tab/>
        <w:t>обеспечивается защита информации, составляющей государственную, коммерческую и иную охраняемую законом тайну;</w:t>
      </w:r>
      <w:r>
        <w:rPr>
          <w:b/>
          <w:i/>
          <w:sz w:val="28"/>
          <w:szCs w:val="28"/>
        </w:rPr>
        <w:t xml:space="preserve">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</w:t>
      </w:r>
      <w:r w:rsidR="00A27569" w:rsidRPr="00F27172">
        <w:rPr>
          <w:sz w:val="28"/>
          <w:szCs w:val="28"/>
        </w:rPr>
        <w:t>ООС</w:t>
      </w:r>
      <w:r w:rsidR="00A27569">
        <w:rPr>
          <w:sz w:val="28"/>
          <w:szCs w:val="28"/>
        </w:rPr>
        <w:t xml:space="preserve">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</w:t>
      </w:r>
      <w:r w:rsidR="0060565C" w:rsidRPr="00354525">
        <w:rPr>
          <w:b/>
          <w:i/>
          <w:strike/>
          <w:sz w:val="28"/>
          <w:szCs w:val="28"/>
        </w:rPr>
        <w:t>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A27569">
        <w:rPr>
          <w:sz w:val="28"/>
          <w:szCs w:val="28"/>
        </w:rPr>
        <w:t>;</w:t>
      </w:r>
    </w:p>
    <w:p w:rsidR="00AE6298" w:rsidRDefault="00AE629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6298">
        <w:rPr>
          <w:b/>
          <w:i/>
          <w:sz w:val="28"/>
          <w:szCs w:val="28"/>
        </w:rPr>
        <w:t>h)</w:t>
      </w:r>
      <w:r w:rsidRPr="00AE6298">
        <w:rPr>
          <w:b/>
          <w:i/>
          <w:sz w:val="28"/>
          <w:szCs w:val="28"/>
        </w:rPr>
        <w:tab/>
        <w:t>предусмотрен механизм рассмотрения жалоб и апелляций в рамках национальной системы аккредитации;</w:t>
      </w:r>
      <w:r>
        <w:rPr>
          <w:b/>
          <w:i/>
          <w:sz w:val="28"/>
          <w:szCs w:val="28"/>
        </w:rPr>
        <w:t xml:space="preserve">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D85DCA" w:rsidRDefault="0041174A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 w:rsidRPr="006B758C">
        <w:rPr>
          <w:b/>
          <w:i/>
          <w:strike/>
          <w:sz w:val="28"/>
          <w:szCs w:val="28"/>
        </w:rPr>
        <w:t>одной из Сторон</w:t>
      </w:r>
      <w:r w:rsidR="0060565C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одного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>-участник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 xml:space="preserve">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 w:rsidRPr="006B758C">
        <w:rPr>
          <w:b/>
          <w:i/>
          <w:strike/>
          <w:sz w:val="28"/>
          <w:szCs w:val="28"/>
        </w:rPr>
        <w:t>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Pr="008D7EB3">
        <w:rPr>
          <w:sz w:val="28"/>
          <w:szCs w:val="28"/>
        </w:rPr>
        <w:t>.</w:t>
      </w:r>
      <w:r w:rsidR="00D85DCA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Для недопущения конкуренции органов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 Сторон</w:t>
      </w:r>
      <w:r w:rsidR="00D85DCA" w:rsidRPr="00F27172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="00056D9D">
        <w:rPr>
          <w:sz w:val="28"/>
          <w:szCs w:val="28"/>
        </w:rPr>
        <w:t xml:space="preserve">ООС </w:t>
      </w:r>
      <w:r w:rsidR="00D85DCA" w:rsidRPr="00354525">
        <w:rPr>
          <w:b/>
          <w:i/>
          <w:strike/>
          <w:sz w:val="28"/>
          <w:szCs w:val="28"/>
        </w:rPr>
        <w:t>государства одной Стороны</w:t>
      </w:r>
      <w:r w:rsidR="00D85DCA" w:rsidRPr="00354525">
        <w:rPr>
          <w:b/>
          <w:i/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одного государств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>-участник</w:t>
      </w:r>
      <w:r w:rsidR="008D7ABC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 xml:space="preserve">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обращается в целях аккредитации</w:t>
      </w:r>
      <w:r w:rsidR="009F5314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орган по аккредитации </w:t>
      </w:r>
      <w:r w:rsidR="00D85DCA" w:rsidRPr="00354525">
        <w:rPr>
          <w:b/>
          <w:i/>
          <w:strike/>
          <w:sz w:val="28"/>
          <w:szCs w:val="28"/>
        </w:rPr>
        <w:t>государства той Стороны</w:t>
      </w:r>
      <w:r w:rsidR="00354525" w:rsidRPr="00354525">
        <w:rPr>
          <w:sz w:val="28"/>
          <w:szCs w:val="28"/>
        </w:rPr>
        <w:t xml:space="preserve"> </w:t>
      </w:r>
      <w:r w:rsidR="00354525" w:rsidRPr="006B758C">
        <w:rPr>
          <w:b/>
          <w:i/>
          <w:sz w:val="28"/>
          <w:szCs w:val="28"/>
        </w:rPr>
        <w:t>того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>-участник</w:t>
      </w:r>
      <w:r w:rsidR="008D7ABC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 xml:space="preserve">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>, на территории которого</w:t>
      </w:r>
      <w:r w:rsidR="00BB764B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он зарегистрирован в качестве юридического лица.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случае если в орган по аккредитации </w:t>
      </w:r>
      <w:r w:rsidR="00D85DCA" w:rsidRPr="00354525">
        <w:rPr>
          <w:b/>
          <w:i/>
          <w:strike/>
          <w:sz w:val="28"/>
          <w:szCs w:val="28"/>
        </w:rPr>
        <w:t>государства одной Стороны</w:t>
      </w:r>
      <w:r w:rsidR="00D85DCA" w:rsidRPr="00354525">
        <w:rPr>
          <w:b/>
          <w:i/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одного государства-участника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целях аккредитации обращается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>, зарегистрированный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качестве юридического лица </w:t>
      </w:r>
      <w:r w:rsidR="00D85DCA" w:rsidRPr="00F27172">
        <w:rPr>
          <w:sz w:val="28"/>
          <w:szCs w:val="28"/>
        </w:rPr>
        <w:lastRenderedPageBreak/>
        <w:t xml:space="preserve">на территории </w:t>
      </w:r>
      <w:r w:rsidR="00D85DCA" w:rsidRPr="006B758C">
        <w:rPr>
          <w:b/>
          <w:i/>
          <w:strike/>
          <w:sz w:val="28"/>
          <w:szCs w:val="28"/>
        </w:rPr>
        <w:t>государства другой Стороны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другого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данный орган по аккредитации информирует об этом орган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государства той Стороны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того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на территории которого зарегистрирован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 xml:space="preserve">. В указанном случае допускается проводить аккредитацию органами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 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</w:t>
      </w:r>
      <w:r w:rsidR="00354525">
        <w:rPr>
          <w:b/>
          <w:i/>
          <w:sz w:val="28"/>
          <w:szCs w:val="28"/>
        </w:rPr>
        <w:t>ов</w:t>
      </w:r>
      <w:r w:rsidR="00354525" w:rsidRPr="00354525">
        <w:rPr>
          <w:b/>
          <w:i/>
          <w:sz w:val="28"/>
          <w:szCs w:val="28"/>
        </w:rPr>
        <w:t xml:space="preserve">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если орган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государства Стороны</w:t>
      </w:r>
      <w:r w:rsidR="007911A9" w:rsidRPr="006B758C">
        <w:rPr>
          <w:b/>
          <w:i/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на территории которого зарегистрирован данный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 xml:space="preserve">, не осуществляет аккредитацию в требуемой области. При этом орган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государства Стороны</w:t>
      </w:r>
      <w:r w:rsidR="007911A9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на территории которого зарегистрирован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>, имеет право выступить в качестве наблюдателя.</w:t>
      </w:r>
    </w:p>
    <w:p w:rsidR="00AE6298" w:rsidRDefault="00AE629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6298">
        <w:rPr>
          <w:b/>
          <w:i/>
          <w:sz w:val="28"/>
          <w:szCs w:val="28"/>
        </w:rPr>
        <w:t>i)</w:t>
      </w:r>
      <w:r w:rsidRPr="00AE6298">
        <w:rPr>
          <w:b/>
          <w:i/>
          <w:sz w:val="28"/>
          <w:szCs w:val="28"/>
        </w:rPr>
        <w:tab/>
        <w:t xml:space="preserve">ООС подают заявки на аккредитацию в орган по аккредитации той Стороны, в юрисдикции которой они зарегистрированы. В случае отсутствия у органа аккредитации компетенции в требуемой области допускается обращение ООС в орган по аккредитации другой Стороны с уведомлением органа аккредитации, в юрисдикции которой они зарегистрированы. Последний вправе участвовать в качестве наблюдателя при проведении работ по аккредитации органом по аккредитации другой стороны. </w:t>
      </w:r>
      <w:r w:rsidRPr="00086A0D">
        <w:rPr>
          <w:b/>
          <w:i/>
          <w:sz w:val="28"/>
          <w:szCs w:val="28"/>
        </w:rPr>
        <w:t>(</w:t>
      </w:r>
      <w:r w:rsidRPr="00086A0D">
        <w:rPr>
          <w:i/>
          <w:sz w:val="28"/>
          <w:szCs w:val="28"/>
        </w:rPr>
        <w:t>предложение НЦА</w:t>
      </w:r>
      <w:r w:rsidRPr="00086A0D">
        <w:rPr>
          <w:b/>
          <w:i/>
          <w:sz w:val="28"/>
          <w:szCs w:val="28"/>
        </w:rPr>
        <w:t>)</w:t>
      </w:r>
    </w:p>
    <w:p w:rsidR="009B7E73" w:rsidRDefault="00F27172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F27172">
        <w:rPr>
          <w:sz w:val="28"/>
          <w:szCs w:val="28"/>
        </w:rPr>
        <w:t xml:space="preserve"> </w:t>
      </w:r>
      <w:r w:rsidR="009B7E73" w:rsidRPr="00F27172">
        <w:rPr>
          <w:sz w:val="28"/>
          <w:szCs w:val="28"/>
        </w:rPr>
        <w:t xml:space="preserve">Подтверждением соблюдения указанных </w:t>
      </w:r>
      <w:r w:rsidR="009B7E73" w:rsidRPr="00AE6298">
        <w:rPr>
          <w:b/>
          <w:i/>
          <w:strike/>
          <w:sz w:val="28"/>
          <w:szCs w:val="28"/>
        </w:rPr>
        <w:t>в настоящей статье</w:t>
      </w:r>
      <w:r w:rsidR="009B7E73" w:rsidRPr="00F27172">
        <w:rPr>
          <w:sz w:val="28"/>
          <w:szCs w:val="28"/>
        </w:rPr>
        <w:t xml:space="preserve"> </w:t>
      </w:r>
      <w:r w:rsidR="00AE6298" w:rsidRPr="00AE6298">
        <w:rPr>
          <w:b/>
          <w:i/>
          <w:sz w:val="28"/>
          <w:szCs w:val="28"/>
        </w:rPr>
        <w:t>(</w:t>
      </w:r>
      <w:r w:rsidR="00AE6298" w:rsidRPr="00AE6298">
        <w:rPr>
          <w:i/>
          <w:sz w:val="28"/>
          <w:szCs w:val="28"/>
        </w:rPr>
        <w:t>предложение НЦА</w:t>
      </w:r>
      <w:r w:rsidR="00AE6298" w:rsidRPr="00AE6298">
        <w:rPr>
          <w:b/>
          <w:i/>
          <w:sz w:val="28"/>
          <w:szCs w:val="28"/>
        </w:rPr>
        <w:t>)</w:t>
      </w:r>
      <w:r w:rsidR="00AE6298">
        <w:rPr>
          <w:b/>
          <w:i/>
          <w:sz w:val="28"/>
          <w:szCs w:val="28"/>
        </w:rPr>
        <w:t xml:space="preserve"> </w:t>
      </w:r>
      <w:r w:rsidR="009B7E73" w:rsidRPr="00F27172">
        <w:rPr>
          <w:sz w:val="28"/>
          <w:szCs w:val="28"/>
        </w:rPr>
        <w:t xml:space="preserve">условий служат положительные результаты </w:t>
      </w:r>
      <w:r w:rsidR="009B7E73" w:rsidRPr="00AE6298">
        <w:rPr>
          <w:b/>
          <w:i/>
          <w:strike/>
          <w:sz w:val="28"/>
          <w:szCs w:val="28"/>
        </w:rPr>
        <w:t>проведения</w:t>
      </w:r>
      <w:r w:rsidR="009B7E73" w:rsidRPr="00F27172">
        <w:rPr>
          <w:sz w:val="28"/>
          <w:szCs w:val="28"/>
        </w:rPr>
        <w:t xml:space="preserve"> </w:t>
      </w:r>
      <w:r w:rsidR="00AE6298" w:rsidRPr="00AE6298">
        <w:rPr>
          <w:b/>
          <w:i/>
          <w:sz w:val="28"/>
          <w:szCs w:val="28"/>
        </w:rPr>
        <w:t>(</w:t>
      </w:r>
      <w:r w:rsidR="00AE6298" w:rsidRPr="00AE6298">
        <w:rPr>
          <w:i/>
          <w:sz w:val="28"/>
          <w:szCs w:val="28"/>
        </w:rPr>
        <w:t>предложение НЦА</w:t>
      </w:r>
      <w:r w:rsidR="00AE6298" w:rsidRPr="00AE6298">
        <w:rPr>
          <w:b/>
          <w:i/>
          <w:sz w:val="28"/>
          <w:szCs w:val="28"/>
        </w:rPr>
        <w:t>)</w:t>
      </w:r>
      <w:r w:rsidR="00AE6298">
        <w:rPr>
          <w:b/>
          <w:i/>
          <w:sz w:val="28"/>
          <w:szCs w:val="28"/>
        </w:rPr>
        <w:t xml:space="preserve"> </w:t>
      </w:r>
      <w:r w:rsidR="009B7E73" w:rsidRPr="00F27172">
        <w:rPr>
          <w:sz w:val="28"/>
          <w:szCs w:val="28"/>
        </w:rPr>
        <w:t xml:space="preserve">паритетных оценок </w:t>
      </w:r>
      <w:r w:rsidR="009B7E73" w:rsidRPr="00A720F9">
        <w:rPr>
          <w:strike/>
          <w:sz w:val="28"/>
          <w:szCs w:val="28"/>
        </w:rPr>
        <w:t xml:space="preserve">среди органов по аккредитации </w:t>
      </w:r>
      <w:r w:rsidR="009B7E73" w:rsidRPr="00A720F9">
        <w:rPr>
          <w:b/>
          <w:i/>
          <w:strike/>
          <w:sz w:val="28"/>
          <w:szCs w:val="28"/>
        </w:rPr>
        <w:t>Сторон</w:t>
      </w:r>
      <w:r w:rsidR="009B7E73" w:rsidRPr="00A720F9">
        <w:rPr>
          <w:strike/>
          <w:sz w:val="28"/>
          <w:szCs w:val="28"/>
        </w:rPr>
        <w:t xml:space="preserve"> </w:t>
      </w:r>
      <w:r w:rsidR="007911A9" w:rsidRPr="00A720F9">
        <w:rPr>
          <w:b/>
          <w:i/>
          <w:strike/>
          <w:sz w:val="28"/>
          <w:szCs w:val="28"/>
        </w:rPr>
        <w:t>государств-участников настоящего Соглашения</w:t>
      </w:r>
      <w:r w:rsidR="007911A9" w:rsidRPr="00A720F9">
        <w:rPr>
          <w:strike/>
          <w:sz w:val="28"/>
          <w:szCs w:val="28"/>
        </w:rPr>
        <w:t xml:space="preserve"> </w:t>
      </w:r>
      <w:r w:rsidR="006B758C" w:rsidRPr="00A720F9">
        <w:rPr>
          <w:i/>
          <w:strike/>
          <w:sz w:val="28"/>
          <w:szCs w:val="28"/>
        </w:rPr>
        <w:t>(Бюро по стандартам</w:t>
      </w:r>
      <w:r w:rsidR="006B758C" w:rsidRPr="00A013F5">
        <w:rPr>
          <w:i/>
          <w:sz w:val="28"/>
          <w:szCs w:val="28"/>
        </w:rPr>
        <w:t>)</w:t>
      </w:r>
      <w:r w:rsidR="00A720F9">
        <w:rPr>
          <w:i/>
          <w:sz w:val="28"/>
          <w:szCs w:val="28"/>
        </w:rPr>
        <w:t xml:space="preserve">, </w:t>
      </w:r>
      <w:r w:rsidR="00A720F9" w:rsidRPr="00A720F9">
        <w:rPr>
          <w:b/>
          <w:i/>
          <w:sz w:val="28"/>
          <w:szCs w:val="28"/>
        </w:rPr>
        <w:t>осуществляемых</w:t>
      </w:r>
      <w:r w:rsidR="00A720F9">
        <w:rPr>
          <w:i/>
          <w:sz w:val="28"/>
          <w:szCs w:val="28"/>
        </w:rPr>
        <w:t xml:space="preserve"> (</w:t>
      </w:r>
      <w:r w:rsidR="00A720F9" w:rsidRPr="00A720F9">
        <w:rPr>
          <w:i/>
          <w:sz w:val="28"/>
          <w:szCs w:val="28"/>
        </w:rPr>
        <w:t>предложение НЦА</w:t>
      </w:r>
      <w:r w:rsidR="00A720F9">
        <w:rPr>
          <w:i/>
          <w:sz w:val="28"/>
          <w:szCs w:val="28"/>
        </w:rPr>
        <w:t xml:space="preserve">) </w:t>
      </w:r>
      <w:r w:rsidR="009B7E73" w:rsidRPr="00F27172">
        <w:rPr>
          <w:sz w:val="28"/>
          <w:szCs w:val="28"/>
        </w:rPr>
        <w:t xml:space="preserve">в соответствии с </w:t>
      </w:r>
      <w:r w:rsidR="00E9255A" w:rsidRPr="00F27172">
        <w:rPr>
          <w:sz w:val="28"/>
          <w:szCs w:val="28"/>
        </w:rPr>
        <w:t>документом «</w:t>
      </w:r>
      <w:r w:rsidR="009B7E73" w:rsidRPr="00F27172">
        <w:rPr>
          <w:sz w:val="28"/>
          <w:szCs w:val="28"/>
        </w:rPr>
        <w:t>Поряд</w:t>
      </w:r>
      <w:r w:rsidR="00E9255A" w:rsidRPr="00F27172">
        <w:rPr>
          <w:sz w:val="28"/>
          <w:szCs w:val="28"/>
        </w:rPr>
        <w:t>о</w:t>
      </w:r>
      <w:r w:rsidR="009B7E73" w:rsidRPr="00F27172">
        <w:rPr>
          <w:sz w:val="28"/>
          <w:szCs w:val="28"/>
        </w:rPr>
        <w:t>к осуществления паритетных оценок органов по аккредитации</w:t>
      </w:r>
      <w:r w:rsidR="00E9255A" w:rsidRPr="00F27172">
        <w:rPr>
          <w:sz w:val="28"/>
          <w:szCs w:val="28"/>
        </w:rPr>
        <w:t>»</w:t>
      </w:r>
      <w:r w:rsidR="00C74D24" w:rsidRPr="00F27172">
        <w:rPr>
          <w:sz w:val="28"/>
          <w:szCs w:val="28"/>
        </w:rPr>
        <w:t>, являющи</w:t>
      </w:r>
      <w:r w:rsidRPr="00F27172">
        <w:rPr>
          <w:sz w:val="28"/>
          <w:szCs w:val="28"/>
        </w:rPr>
        <w:t>м</w:t>
      </w:r>
      <w:r w:rsidR="00C74D24" w:rsidRPr="00F27172">
        <w:rPr>
          <w:sz w:val="28"/>
          <w:szCs w:val="28"/>
        </w:rPr>
        <w:t>ся неотъемлемой частью настоящего Соглашения</w:t>
      </w:r>
      <w:r w:rsidRPr="00F27172">
        <w:rPr>
          <w:sz w:val="28"/>
          <w:szCs w:val="28"/>
        </w:rPr>
        <w:t>.</w:t>
      </w:r>
    </w:p>
    <w:p w:rsidR="00C0411D" w:rsidRDefault="00C0411D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C0411D">
        <w:rPr>
          <w:b/>
          <w:bCs/>
          <w:i/>
          <w:iCs/>
          <w:sz w:val="28"/>
          <w:szCs w:val="28"/>
        </w:rPr>
        <w:t>Если представлено свидетельство другой независимой оценки (например, результаты аккредитации или результаты другой паритетной оценки, представленные заявителем), то оно подлежит оцениванию с целью определения степени его использования для подтверждения соответствия требованиям, установленным группой соглашения</w:t>
      </w:r>
      <w:r w:rsidR="00920CA2">
        <w:rPr>
          <w:b/>
          <w:bCs/>
          <w:i/>
          <w:iCs/>
          <w:sz w:val="28"/>
          <w:szCs w:val="28"/>
        </w:rPr>
        <w:t xml:space="preserve"> (</w:t>
      </w:r>
      <w:r w:rsidR="00920CA2" w:rsidRPr="00920CA2">
        <w:rPr>
          <w:bCs/>
          <w:i/>
          <w:iCs/>
          <w:sz w:val="28"/>
          <w:szCs w:val="28"/>
        </w:rPr>
        <w:t xml:space="preserve">предложение </w:t>
      </w:r>
      <w:r w:rsidR="00121333">
        <w:rPr>
          <w:bCs/>
          <w:i/>
          <w:iCs/>
          <w:sz w:val="28"/>
          <w:szCs w:val="28"/>
        </w:rPr>
        <w:t>Госстандарта РБ (</w:t>
      </w:r>
      <w:r w:rsidR="00920CA2" w:rsidRPr="00920CA2">
        <w:rPr>
          <w:bCs/>
          <w:i/>
          <w:iCs/>
          <w:sz w:val="28"/>
          <w:szCs w:val="28"/>
        </w:rPr>
        <w:t>БГЦА</w:t>
      </w:r>
      <w:r w:rsidR="00121333">
        <w:rPr>
          <w:bCs/>
          <w:i/>
          <w:iCs/>
          <w:sz w:val="28"/>
          <w:szCs w:val="28"/>
        </w:rPr>
        <w:t>)</w:t>
      </w:r>
      <w:bookmarkStart w:id="0" w:name="_GoBack"/>
      <w:bookmarkEnd w:id="0"/>
      <w:r w:rsidR="00920CA2">
        <w:rPr>
          <w:bCs/>
          <w:i/>
          <w:iCs/>
          <w:sz w:val="28"/>
          <w:szCs w:val="28"/>
        </w:rPr>
        <w:t xml:space="preserve">; поддерживают </w:t>
      </w:r>
      <w:r w:rsidR="00920CA2" w:rsidRPr="00920CA2">
        <w:rPr>
          <w:bCs/>
          <w:i/>
          <w:iCs/>
          <w:sz w:val="28"/>
          <w:szCs w:val="28"/>
        </w:rPr>
        <w:t>ГНО «Национальный орган по аккредитации» Республики Армения</w:t>
      </w:r>
      <w:r w:rsidR="00920CA2">
        <w:rPr>
          <w:bCs/>
          <w:i/>
          <w:iCs/>
          <w:sz w:val="28"/>
          <w:szCs w:val="28"/>
        </w:rPr>
        <w:t xml:space="preserve">, </w:t>
      </w:r>
      <w:proofErr w:type="spellStart"/>
      <w:r w:rsidR="00920CA2">
        <w:rPr>
          <w:bCs/>
          <w:i/>
          <w:iCs/>
          <w:sz w:val="28"/>
          <w:szCs w:val="28"/>
        </w:rPr>
        <w:t>Росаккредитация</w:t>
      </w:r>
      <w:proofErr w:type="spellEnd"/>
      <w:r w:rsidR="00920CA2">
        <w:rPr>
          <w:b/>
          <w:bCs/>
          <w:i/>
          <w:iCs/>
          <w:sz w:val="28"/>
          <w:szCs w:val="28"/>
        </w:rPr>
        <w:t>)</w:t>
      </w:r>
      <w:r w:rsidRPr="00C0411D">
        <w:rPr>
          <w:b/>
          <w:bCs/>
          <w:i/>
          <w:iCs/>
          <w:sz w:val="28"/>
          <w:szCs w:val="28"/>
        </w:rPr>
        <w:t>.</w:t>
      </w:r>
    </w:p>
    <w:p w:rsidR="00ED77C6" w:rsidRDefault="00ED77C6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Предлагается следующая редакция: </w:t>
      </w:r>
      <w:r w:rsidRPr="00ED77C6">
        <w:rPr>
          <w:b/>
          <w:bCs/>
          <w:i/>
          <w:iCs/>
          <w:sz w:val="28"/>
          <w:szCs w:val="28"/>
        </w:rPr>
        <w:t>«Если представлено свидетельство другой независимой оценки (результаты другой паритетной оценки), то оно подлежит оцениванию с целью определения степени его использования для подтверждения соответствия условиям настоящего Соглашения».</w:t>
      </w:r>
      <w:r>
        <w:rPr>
          <w:b/>
          <w:bCs/>
          <w:i/>
          <w:iCs/>
          <w:sz w:val="28"/>
          <w:szCs w:val="28"/>
        </w:rPr>
        <w:t xml:space="preserve"> (</w:t>
      </w:r>
      <w:r w:rsidRPr="00ED77C6">
        <w:rPr>
          <w:bCs/>
          <w:i/>
          <w:iCs/>
          <w:sz w:val="28"/>
          <w:szCs w:val="28"/>
        </w:rPr>
        <w:t>ГУ «Узбекский центр аккредитации»</w:t>
      </w:r>
      <w:r>
        <w:rPr>
          <w:b/>
          <w:bCs/>
          <w:i/>
          <w:iCs/>
          <w:sz w:val="28"/>
          <w:szCs w:val="28"/>
        </w:rPr>
        <w:t>)</w:t>
      </w:r>
    </w:p>
    <w:p w:rsidR="00ED77C6" w:rsidRDefault="00ED77C6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bCs/>
          <w:i/>
          <w:iCs/>
          <w:sz w:val="28"/>
          <w:szCs w:val="28"/>
        </w:rPr>
      </w:pPr>
    </w:p>
    <w:p w:rsidR="00635F94" w:rsidRPr="00C0411D" w:rsidRDefault="00635F94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635F94">
        <w:rPr>
          <w:b/>
          <w:i/>
          <w:sz w:val="28"/>
          <w:szCs w:val="28"/>
        </w:rPr>
        <w:t>По статье 3 – требуется детализировать порядок проведения паритетных (взаимных) оценок. Важно определить, на основании каких критериев будут отбираться оценщики, каким образом будет обеспечиваться их компетентность, а также какая сторона будет координировать данные процессы.</w:t>
      </w:r>
      <w:r>
        <w:rPr>
          <w:b/>
          <w:i/>
          <w:sz w:val="28"/>
          <w:szCs w:val="28"/>
        </w:rPr>
        <w:t xml:space="preserve"> (</w:t>
      </w:r>
      <w:r w:rsidRPr="00635F94">
        <w:rPr>
          <w:i/>
          <w:sz w:val="28"/>
          <w:szCs w:val="28"/>
        </w:rPr>
        <w:t>НЦА</w:t>
      </w:r>
      <w:r>
        <w:rPr>
          <w:b/>
          <w:i/>
          <w:sz w:val="28"/>
          <w:szCs w:val="28"/>
        </w:rPr>
        <w:t>)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lastRenderedPageBreak/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</w:t>
      </w:r>
      <w:r w:rsidR="00A720F9" w:rsidRPr="00A720F9">
        <w:rPr>
          <w:b/>
          <w:i/>
          <w:sz w:val="28"/>
          <w:szCs w:val="28"/>
        </w:rPr>
        <w:t>ы</w:t>
      </w:r>
      <w:r w:rsidRPr="00586119">
        <w:rPr>
          <w:sz w:val="28"/>
          <w:szCs w:val="28"/>
        </w:rPr>
        <w:t xml:space="preserve"> </w:t>
      </w:r>
      <w:r w:rsidR="00A720F9" w:rsidRPr="00A720F9">
        <w:rPr>
          <w:b/>
          <w:i/>
          <w:sz w:val="28"/>
          <w:szCs w:val="28"/>
        </w:rPr>
        <w:t>(</w:t>
      </w:r>
      <w:r w:rsidR="00A720F9" w:rsidRPr="00A720F9">
        <w:rPr>
          <w:i/>
          <w:sz w:val="28"/>
          <w:szCs w:val="28"/>
        </w:rPr>
        <w:t>предложение НЦА</w:t>
      </w:r>
      <w:r w:rsidR="00A720F9" w:rsidRPr="00A720F9">
        <w:rPr>
          <w:b/>
          <w:i/>
          <w:sz w:val="28"/>
          <w:szCs w:val="28"/>
        </w:rPr>
        <w:t>)</w:t>
      </w:r>
      <w:r w:rsidR="00A720F9">
        <w:rPr>
          <w:b/>
          <w:i/>
          <w:sz w:val="28"/>
          <w:szCs w:val="28"/>
        </w:rPr>
        <w:t xml:space="preserve"> </w:t>
      </w:r>
      <w:r w:rsidRPr="00586119">
        <w:rPr>
          <w:sz w:val="28"/>
          <w:szCs w:val="28"/>
        </w:rPr>
        <w:t>по аккредитации:</w:t>
      </w:r>
    </w:p>
    <w:p w:rsidR="00A84E46" w:rsidRDefault="00A84E46" w:rsidP="00A84E46">
      <w:pPr>
        <w:spacing w:line="320" w:lineRule="exact"/>
        <w:ind w:firstLine="709"/>
        <w:jc w:val="both"/>
        <w:rPr>
          <w:sz w:val="28"/>
          <w:szCs w:val="28"/>
        </w:rPr>
      </w:pPr>
      <w:r w:rsidRPr="00417080">
        <w:rPr>
          <w:sz w:val="28"/>
          <w:szCs w:val="28"/>
        </w:rPr>
        <w:t xml:space="preserve">обеспечивает размещение и открытый доступ на </w:t>
      </w:r>
      <w:r w:rsidR="00BD0974" w:rsidRPr="00F27172">
        <w:rPr>
          <w:sz w:val="28"/>
          <w:szCs w:val="28"/>
        </w:rPr>
        <w:t>своем</w:t>
      </w:r>
      <w:r w:rsidR="00BD0974">
        <w:rPr>
          <w:sz w:val="28"/>
          <w:szCs w:val="28"/>
        </w:rPr>
        <w:t xml:space="preserve"> </w:t>
      </w:r>
      <w:r w:rsidRPr="00417080">
        <w:rPr>
          <w:sz w:val="28"/>
          <w:szCs w:val="28"/>
        </w:rPr>
        <w:t>официальном сайте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</w:t>
      </w:r>
      <w:r w:rsidR="00F27172">
        <w:rPr>
          <w:sz w:val="28"/>
          <w:szCs w:val="28"/>
        </w:rPr>
        <w:t>;</w:t>
      </w:r>
    </w:p>
    <w:p w:rsidR="00A720F9" w:rsidRPr="008A1211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A720F9">
        <w:rPr>
          <w:b/>
          <w:i/>
          <w:sz w:val="28"/>
          <w:szCs w:val="28"/>
        </w:rPr>
        <w:t>обеспечивают открытый доступ к информации о своей структуре и правилах функционирования национальной системы аккредитации;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A720F9">
        <w:rPr>
          <w:i/>
          <w:sz w:val="28"/>
          <w:szCs w:val="28"/>
        </w:rPr>
        <w:t>предложение НЦА</w:t>
      </w:r>
      <w:r>
        <w:rPr>
          <w:i/>
          <w:sz w:val="28"/>
          <w:szCs w:val="28"/>
        </w:rPr>
        <w:t>)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</w:t>
      </w:r>
      <w:r w:rsidR="0060565C" w:rsidRPr="007911A9">
        <w:rPr>
          <w:strike/>
          <w:sz w:val="28"/>
          <w:szCs w:val="28"/>
        </w:rPr>
        <w:t>Сторон</w:t>
      </w:r>
      <w:r w:rsidR="007911A9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</w:t>
      </w:r>
      <w:r w:rsidR="00BD0974" w:rsidRPr="00F27172">
        <w:rPr>
          <w:sz w:val="28"/>
          <w:szCs w:val="28"/>
        </w:rPr>
        <w:t>ООС</w:t>
      </w:r>
      <w:r w:rsidR="00BD0974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A720F9" w:rsidRPr="008A1211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A720F9">
        <w:rPr>
          <w:b/>
          <w:i/>
          <w:sz w:val="28"/>
          <w:szCs w:val="28"/>
        </w:rPr>
        <w:t>рассматривают в пределах компетенции жалобы и апелляции в отношении аккредитованных ООС;</w:t>
      </w:r>
      <w:r w:rsidRPr="00A720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A720F9">
        <w:rPr>
          <w:i/>
          <w:sz w:val="28"/>
          <w:szCs w:val="28"/>
        </w:rPr>
        <w:t>предложение НЦА</w:t>
      </w:r>
      <w:r>
        <w:rPr>
          <w:i/>
          <w:sz w:val="28"/>
          <w:szCs w:val="28"/>
        </w:rPr>
        <w:t>)</w:t>
      </w:r>
    </w:p>
    <w:p w:rsidR="009D422E" w:rsidRDefault="00945D07" w:rsidP="00425F8F">
      <w:pPr>
        <w:spacing w:line="320" w:lineRule="exact"/>
        <w:ind w:firstLine="709"/>
        <w:jc w:val="both"/>
        <w:rPr>
          <w:sz w:val="28"/>
          <w:szCs w:val="28"/>
        </w:rPr>
      </w:pPr>
      <w:r w:rsidRPr="00F27172">
        <w:rPr>
          <w:sz w:val="28"/>
          <w:szCs w:val="28"/>
        </w:rPr>
        <w:t xml:space="preserve">ведет реестр аккредитованных в национальной системе аккредитации </w:t>
      </w:r>
      <w:r w:rsidRPr="007911A9">
        <w:rPr>
          <w:strike/>
          <w:sz w:val="28"/>
          <w:szCs w:val="28"/>
        </w:rPr>
        <w:t xml:space="preserve">Сторон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 w:rsidR="007911A9" w:rsidRPr="007911A9">
        <w:rPr>
          <w:sz w:val="28"/>
          <w:szCs w:val="28"/>
        </w:rPr>
        <w:t xml:space="preserve"> </w:t>
      </w:r>
      <w:r w:rsidR="00056D9D">
        <w:rPr>
          <w:sz w:val="28"/>
          <w:szCs w:val="28"/>
        </w:rPr>
        <w:t xml:space="preserve">ООС </w:t>
      </w:r>
      <w:r w:rsidRPr="00F27172">
        <w:rPr>
          <w:sz w:val="28"/>
          <w:szCs w:val="28"/>
        </w:rPr>
        <w:t xml:space="preserve">и обеспечивает размещение реестра и открытый доступ к нему на официальном сайте органа по аккредитации </w:t>
      </w:r>
      <w:r w:rsidRPr="007911A9">
        <w:rPr>
          <w:strike/>
          <w:sz w:val="28"/>
          <w:szCs w:val="28"/>
        </w:rPr>
        <w:t>Сторон</w:t>
      </w:r>
      <w:r w:rsidR="007911A9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 w:rsidRPr="00F27172">
        <w:rPr>
          <w:sz w:val="28"/>
          <w:szCs w:val="28"/>
        </w:rPr>
        <w:t>, а также ведет реестр оценщиков и технических экспертов;</w:t>
      </w:r>
      <w:r w:rsidR="005E4644" w:rsidRPr="00F27172">
        <w:rPr>
          <w:sz w:val="28"/>
          <w:szCs w:val="28"/>
        </w:rPr>
        <w:t xml:space="preserve"> </w:t>
      </w:r>
    </w:p>
    <w:p w:rsidR="00A720F9" w:rsidRPr="008A1211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A720F9">
        <w:rPr>
          <w:b/>
          <w:i/>
          <w:sz w:val="28"/>
          <w:szCs w:val="28"/>
        </w:rPr>
        <w:t>ведут и публикуют реестр аккредитованных ООС, оценщиков и экспертов, с обеспечением его актуальности;</w:t>
      </w:r>
      <w:r w:rsidRPr="00A720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A720F9">
        <w:rPr>
          <w:i/>
          <w:sz w:val="28"/>
          <w:szCs w:val="28"/>
        </w:rPr>
        <w:t>предложение НЦА</w:t>
      </w:r>
      <w:r>
        <w:rPr>
          <w:i/>
          <w:sz w:val="28"/>
          <w:szCs w:val="28"/>
        </w:rPr>
        <w:t>)</w:t>
      </w:r>
    </w:p>
    <w:p w:rsidR="0007749C" w:rsidRDefault="00B367B2" w:rsidP="0007749C">
      <w:pPr>
        <w:ind w:firstLine="709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F27172">
        <w:rPr>
          <w:rFonts w:eastAsia="Calibri"/>
          <w:bCs/>
          <w:sz w:val="28"/>
          <w:szCs w:val="28"/>
          <w:lang w:eastAsia="en-US"/>
        </w:rPr>
        <w:t xml:space="preserve">рассматривает запросы, поступающие от органов по аккредитации </w:t>
      </w:r>
      <w:r w:rsidRPr="007911A9">
        <w:rPr>
          <w:rFonts w:eastAsia="Calibri"/>
          <w:bCs/>
          <w:strike/>
          <w:sz w:val="28"/>
          <w:szCs w:val="28"/>
          <w:lang w:eastAsia="en-US"/>
        </w:rPr>
        <w:t>Сторон</w:t>
      </w:r>
      <w:r w:rsidR="007911A9">
        <w:rPr>
          <w:rFonts w:eastAsia="Calibri"/>
          <w:bCs/>
          <w:sz w:val="28"/>
          <w:szCs w:val="28"/>
          <w:lang w:eastAsia="en-US"/>
        </w:rPr>
        <w:t xml:space="preserve"> </w:t>
      </w:r>
      <w:r w:rsidR="007911A9" w:rsidRPr="007911A9">
        <w:rPr>
          <w:rFonts w:eastAsia="Calibri"/>
          <w:b/>
          <w:bCs/>
          <w:i/>
          <w:sz w:val="28"/>
          <w:szCs w:val="28"/>
          <w:lang w:eastAsia="en-US"/>
        </w:rPr>
        <w:t>государств-участник</w:t>
      </w:r>
      <w:r w:rsidR="007911A9">
        <w:rPr>
          <w:rFonts w:eastAsia="Calibri"/>
          <w:b/>
          <w:bCs/>
          <w:i/>
          <w:sz w:val="28"/>
          <w:szCs w:val="28"/>
          <w:lang w:eastAsia="en-US"/>
        </w:rPr>
        <w:t>ов</w:t>
      </w:r>
      <w:r w:rsidR="007911A9" w:rsidRPr="007911A9">
        <w:rPr>
          <w:rFonts w:eastAsia="Calibri"/>
          <w:b/>
          <w:bCs/>
          <w:i/>
          <w:sz w:val="28"/>
          <w:szCs w:val="28"/>
          <w:lang w:eastAsia="en-US"/>
        </w:rPr>
        <w:t xml:space="preserve"> настоящего Соглашения</w:t>
      </w:r>
      <w:r w:rsidRPr="00F27172">
        <w:rPr>
          <w:rFonts w:eastAsia="Calibri"/>
          <w:bCs/>
          <w:sz w:val="28"/>
          <w:szCs w:val="28"/>
          <w:lang w:eastAsia="en-US"/>
        </w:rPr>
        <w:t>,</w:t>
      </w:r>
      <w:r w:rsidR="000D4D96" w:rsidRPr="00F27172">
        <w:rPr>
          <w:rFonts w:eastAsia="Calibri"/>
          <w:bCs/>
          <w:sz w:val="28"/>
          <w:szCs w:val="28"/>
          <w:lang w:eastAsia="en-US"/>
        </w:rPr>
        <w:t xml:space="preserve"> </w:t>
      </w:r>
      <w:r w:rsidRPr="00F27172">
        <w:rPr>
          <w:rFonts w:eastAsia="Calibri"/>
          <w:bCs/>
          <w:sz w:val="28"/>
          <w:szCs w:val="28"/>
          <w:lang w:eastAsia="en-US"/>
        </w:rPr>
        <w:t xml:space="preserve">в отношении аккредитованных им </w:t>
      </w:r>
      <w:r w:rsidR="00DE58F0" w:rsidRPr="00F27172">
        <w:rPr>
          <w:rFonts w:eastAsia="Calibri"/>
          <w:bCs/>
          <w:sz w:val="28"/>
          <w:szCs w:val="28"/>
          <w:lang w:eastAsia="en-US"/>
        </w:rPr>
        <w:t>ООС</w:t>
      </w:r>
      <w:r w:rsidRPr="00F27172">
        <w:rPr>
          <w:rFonts w:eastAsia="Calibri"/>
          <w:bCs/>
          <w:sz w:val="28"/>
          <w:szCs w:val="28"/>
          <w:lang w:val="uk-UA" w:eastAsia="en-US"/>
        </w:rPr>
        <w:t xml:space="preserve">. </w:t>
      </w:r>
    </w:p>
    <w:p w:rsidR="00A720F9" w:rsidRPr="008A1211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A720F9">
        <w:rPr>
          <w:rFonts w:eastAsia="Calibri"/>
          <w:b/>
          <w:bCs/>
          <w:i/>
          <w:sz w:val="28"/>
          <w:szCs w:val="28"/>
          <w:lang w:eastAsia="en-US"/>
        </w:rPr>
        <w:t>обмениваются информацией и запросами относительно деятельности аккредитованных ООС.</w:t>
      </w:r>
      <w:r w:rsidRPr="00A720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A720F9">
        <w:rPr>
          <w:i/>
          <w:sz w:val="28"/>
          <w:szCs w:val="28"/>
        </w:rPr>
        <w:t>предложение НЦА</w:t>
      </w:r>
      <w:r>
        <w:rPr>
          <w:i/>
          <w:sz w:val="28"/>
          <w:szCs w:val="28"/>
        </w:rPr>
        <w:t>)</w:t>
      </w:r>
    </w:p>
    <w:p w:rsidR="00A720F9" w:rsidRPr="00A720F9" w:rsidRDefault="00A720F9" w:rsidP="0007749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7749C" w:rsidRDefault="00DC171C" w:rsidP="0007749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07749C" w:rsidRDefault="0007749C" w:rsidP="0007749C">
      <w:pPr>
        <w:ind w:firstLine="709"/>
        <w:jc w:val="center"/>
        <w:rPr>
          <w:b/>
          <w:bCs/>
          <w:sz w:val="28"/>
          <w:szCs w:val="28"/>
        </w:rPr>
      </w:pPr>
    </w:p>
    <w:p w:rsidR="00DC171C" w:rsidRDefault="00DC171C" w:rsidP="0007749C">
      <w:pPr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A720F9" w:rsidRDefault="00A720F9" w:rsidP="0007749C">
      <w:pPr>
        <w:ind w:firstLine="709"/>
        <w:jc w:val="both"/>
        <w:rPr>
          <w:rStyle w:val="FontStyle15"/>
          <w:sz w:val="28"/>
          <w:szCs w:val="28"/>
        </w:rPr>
      </w:pPr>
      <w:r w:rsidRPr="00A720F9">
        <w:rPr>
          <w:b/>
          <w:i/>
          <w:sz w:val="28"/>
          <w:szCs w:val="28"/>
        </w:rPr>
        <w:t>Настоящее Соглашение не распространяется на признание аккредитации органов, проводящих оценку соответствия продукции, связанной с оборонной, ядерной, радиационной безопасностью, защитой государственной тайны и иной информацией ограниченного доступа.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A720F9">
        <w:rPr>
          <w:i/>
          <w:sz w:val="28"/>
          <w:szCs w:val="28"/>
        </w:rPr>
        <w:t>предложение НЦА</w:t>
      </w:r>
      <w:r>
        <w:rPr>
          <w:i/>
          <w:sz w:val="28"/>
          <w:szCs w:val="28"/>
        </w:rPr>
        <w:t>)</w:t>
      </w:r>
    </w:p>
    <w:p w:rsidR="007F1DAC" w:rsidRDefault="00AC50D3" w:rsidP="007F1DAC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i/>
          <w:sz w:val="28"/>
          <w:szCs w:val="28"/>
        </w:rPr>
      </w:pPr>
      <w:r w:rsidRPr="00847496">
        <w:rPr>
          <w:rStyle w:val="FontStyle15"/>
          <w:sz w:val="28"/>
          <w:szCs w:val="28"/>
          <w:lang w:val="uk-UA"/>
        </w:rPr>
        <w:t>П</w:t>
      </w:r>
      <w:r w:rsidR="007F1DAC" w:rsidRPr="00847496">
        <w:rPr>
          <w:rStyle w:val="FontStyle15"/>
          <w:sz w:val="28"/>
          <w:szCs w:val="28"/>
          <w:lang w:val="uk-UA"/>
        </w:rPr>
        <w:t xml:space="preserve">еречень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видов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r w:rsidR="00056D9D">
        <w:rPr>
          <w:rStyle w:val="FontStyle15"/>
          <w:sz w:val="28"/>
          <w:szCs w:val="28"/>
          <w:lang w:val="uk-UA"/>
        </w:rPr>
        <w:t>ООС</w:t>
      </w:r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аккредитация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которых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признается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Сторонами </w:t>
      </w:r>
      <w:r w:rsidR="007F1DAC" w:rsidRPr="00A720F9">
        <w:rPr>
          <w:rStyle w:val="FontStyle15"/>
          <w:b/>
          <w:i/>
          <w:strike/>
          <w:sz w:val="28"/>
          <w:szCs w:val="28"/>
          <w:lang w:val="uk-UA"/>
        </w:rPr>
        <w:t xml:space="preserve">в </w:t>
      </w:r>
      <w:proofErr w:type="spellStart"/>
      <w:r w:rsidR="007F1DAC" w:rsidRPr="00A720F9">
        <w:rPr>
          <w:rStyle w:val="FontStyle15"/>
          <w:b/>
          <w:i/>
          <w:strike/>
          <w:sz w:val="28"/>
          <w:szCs w:val="28"/>
          <w:lang w:val="uk-UA"/>
        </w:rPr>
        <w:t>соответствии</w:t>
      </w:r>
      <w:proofErr w:type="spellEnd"/>
      <w:r w:rsidR="007F1DAC" w:rsidRPr="00A720F9">
        <w:rPr>
          <w:rStyle w:val="FontStyle15"/>
          <w:b/>
          <w:i/>
          <w:strike/>
          <w:sz w:val="28"/>
          <w:szCs w:val="28"/>
          <w:lang w:val="uk-UA"/>
        </w:rPr>
        <w:t xml:space="preserve"> с </w:t>
      </w:r>
      <w:proofErr w:type="spellStart"/>
      <w:r w:rsidRPr="00A720F9">
        <w:rPr>
          <w:rStyle w:val="FontStyle15"/>
          <w:b/>
          <w:i/>
          <w:strike/>
          <w:sz w:val="28"/>
          <w:szCs w:val="28"/>
          <w:lang w:val="uk-UA"/>
        </w:rPr>
        <w:t>настоящим</w:t>
      </w:r>
      <w:proofErr w:type="spellEnd"/>
      <w:r w:rsidRPr="00A720F9">
        <w:rPr>
          <w:rStyle w:val="FontStyle15"/>
          <w:b/>
          <w:i/>
          <w:strike/>
          <w:sz w:val="28"/>
          <w:szCs w:val="28"/>
          <w:lang w:val="uk-UA"/>
        </w:rPr>
        <w:t xml:space="preserve"> </w:t>
      </w:r>
      <w:proofErr w:type="spellStart"/>
      <w:r w:rsidR="007F1DAC" w:rsidRPr="00A720F9">
        <w:rPr>
          <w:rStyle w:val="FontStyle15"/>
          <w:b/>
          <w:i/>
          <w:strike/>
          <w:sz w:val="28"/>
          <w:szCs w:val="28"/>
          <w:lang w:val="uk-UA"/>
        </w:rPr>
        <w:t>Соглашением</w:t>
      </w:r>
      <w:proofErr w:type="spellEnd"/>
      <w:r w:rsidR="007F1DAC" w:rsidRPr="00A720F9">
        <w:rPr>
          <w:rStyle w:val="FontStyle15"/>
          <w:b/>
          <w:i/>
          <w:strike/>
          <w:sz w:val="28"/>
          <w:szCs w:val="28"/>
          <w:lang w:val="uk-UA"/>
        </w:rPr>
        <w:t>,</w:t>
      </w:r>
      <w:r w:rsidR="007F1DAC" w:rsidRPr="00A720F9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120082">
        <w:rPr>
          <w:rStyle w:val="FontStyle15"/>
          <w:b/>
          <w:i/>
          <w:sz w:val="28"/>
          <w:szCs w:val="28"/>
          <w:lang w:val="uk-UA"/>
        </w:rPr>
        <w:t>определя</w:t>
      </w:r>
      <w:r w:rsidR="007F1DAC" w:rsidRPr="00120082">
        <w:rPr>
          <w:rStyle w:val="FontStyle15"/>
          <w:b/>
          <w:i/>
          <w:strike/>
          <w:sz w:val="28"/>
          <w:szCs w:val="28"/>
          <w:lang w:val="uk-UA"/>
        </w:rPr>
        <w:t>ю</w:t>
      </w:r>
      <w:r w:rsidR="00120082" w:rsidRPr="00120082">
        <w:rPr>
          <w:rStyle w:val="FontStyle15"/>
          <w:b/>
          <w:i/>
          <w:sz w:val="28"/>
          <w:szCs w:val="28"/>
          <w:lang w:val="uk-UA"/>
        </w:rPr>
        <w:t>е</w:t>
      </w:r>
      <w:r w:rsidR="007F1DAC" w:rsidRPr="00120082">
        <w:rPr>
          <w:rStyle w:val="FontStyle15"/>
          <w:b/>
          <w:i/>
          <w:sz w:val="28"/>
          <w:szCs w:val="28"/>
          <w:lang w:val="uk-UA"/>
        </w:rPr>
        <w:t>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в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Приложении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>,</w:t>
      </w:r>
      <w:r w:rsidR="007F1DAC" w:rsidRPr="00120082">
        <w:rPr>
          <w:rStyle w:val="FontStyle15"/>
          <w:b/>
          <w:i/>
          <w:strike/>
          <w:sz w:val="28"/>
          <w:szCs w:val="28"/>
          <w:lang w:val="uk-UA"/>
        </w:rPr>
        <w:t xml:space="preserve"> </w:t>
      </w:r>
      <w:proofErr w:type="spellStart"/>
      <w:r w:rsidR="007F1DAC" w:rsidRPr="00120082">
        <w:rPr>
          <w:rStyle w:val="FontStyle15"/>
          <w:b/>
          <w:i/>
          <w:strike/>
          <w:sz w:val="28"/>
          <w:szCs w:val="28"/>
          <w:lang w:val="uk-UA"/>
        </w:rPr>
        <w:t>которое</w:t>
      </w:r>
      <w:proofErr w:type="spellEnd"/>
      <w:r w:rsidR="007F1DAC" w:rsidRPr="00120082">
        <w:rPr>
          <w:rStyle w:val="FontStyle15"/>
          <w:b/>
          <w:i/>
          <w:strike/>
          <w:sz w:val="28"/>
          <w:szCs w:val="28"/>
          <w:lang w:val="uk-UA"/>
        </w:rPr>
        <w:t xml:space="preserve"> </w:t>
      </w:r>
      <w:proofErr w:type="spellStart"/>
      <w:r w:rsidR="007F1DAC" w:rsidRPr="00120082">
        <w:rPr>
          <w:rStyle w:val="FontStyle15"/>
          <w:b/>
          <w:i/>
          <w:strike/>
          <w:sz w:val="28"/>
          <w:szCs w:val="28"/>
          <w:lang w:val="uk-UA"/>
        </w:rPr>
        <w:t>является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r w:rsidR="00120082" w:rsidRPr="00120082">
        <w:rPr>
          <w:b/>
          <w:i/>
          <w:sz w:val="28"/>
          <w:szCs w:val="28"/>
        </w:rPr>
        <w:t>являющемся</w:t>
      </w:r>
      <w:r w:rsidR="00120082">
        <w:rPr>
          <w:b/>
          <w:i/>
          <w:sz w:val="28"/>
          <w:szCs w:val="28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неотъемлемой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частью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Pr="00847496">
        <w:rPr>
          <w:rStyle w:val="FontStyle15"/>
          <w:sz w:val="28"/>
          <w:szCs w:val="28"/>
          <w:lang w:val="uk-UA"/>
        </w:rPr>
        <w:t>настоящего</w:t>
      </w:r>
      <w:proofErr w:type="spellEnd"/>
      <w:r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Соглашения</w:t>
      </w:r>
      <w:proofErr w:type="spellEnd"/>
      <w:r w:rsidR="00847496">
        <w:rPr>
          <w:rStyle w:val="FontStyle15"/>
          <w:sz w:val="28"/>
          <w:szCs w:val="28"/>
          <w:lang w:val="uk-UA"/>
        </w:rPr>
        <w:t>.</w:t>
      </w:r>
      <w:r w:rsidR="00120082" w:rsidRPr="00120082">
        <w:rPr>
          <w:i/>
          <w:sz w:val="28"/>
          <w:szCs w:val="28"/>
        </w:rPr>
        <w:t xml:space="preserve"> </w:t>
      </w:r>
      <w:r w:rsidR="00120082">
        <w:rPr>
          <w:i/>
          <w:sz w:val="28"/>
          <w:szCs w:val="28"/>
        </w:rPr>
        <w:t>(</w:t>
      </w:r>
      <w:r w:rsidR="00120082" w:rsidRPr="00A720F9">
        <w:rPr>
          <w:i/>
          <w:sz w:val="28"/>
          <w:szCs w:val="28"/>
        </w:rPr>
        <w:t>предложение НЦА</w:t>
      </w:r>
      <w:r w:rsidR="00120082">
        <w:rPr>
          <w:i/>
          <w:sz w:val="28"/>
          <w:szCs w:val="28"/>
        </w:rPr>
        <w:t>)</w:t>
      </w:r>
    </w:p>
    <w:p w:rsidR="00635F94" w:rsidRPr="00635F94" w:rsidRDefault="00635F94" w:rsidP="007F1DAC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b/>
          <w:i/>
          <w:sz w:val="28"/>
          <w:szCs w:val="28"/>
          <w:lang w:val="uk-UA"/>
        </w:rPr>
      </w:pPr>
      <w:r w:rsidRPr="00635F94">
        <w:rPr>
          <w:rStyle w:val="FontStyle15"/>
          <w:b/>
          <w:i/>
          <w:sz w:val="28"/>
          <w:szCs w:val="28"/>
          <w:lang w:val="uk-UA"/>
        </w:rPr>
        <w:t xml:space="preserve">По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статье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5 –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вызывает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озабоченность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включение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приложения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с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перечнем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видов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объектов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оценки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соответствия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, так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как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данный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перечень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подвержен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регулярным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изменениям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. В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этой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связи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предлагаем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рассмотреть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возможность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формирования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отдельного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обновляемого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реестра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(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приложения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),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размещаемого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на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официальных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ресурсах </w:t>
      </w:r>
      <w:proofErr w:type="spellStart"/>
      <w:r w:rsidRPr="00635F94">
        <w:rPr>
          <w:rStyle w:val="FontStyle15"/>
          <w:b/>
          <w:i/>
          <w:sz w:val="28"/>
          <w:szCs w:val="28"/>
          <w:lang w:val="uk-UA"/>
        </w:rPr>
        <w:t>органов</w:t>
      </w:r>
      <w:proofErr w:type="spellEnd"/>
      <w:r w:rsidRPr="00635F94">
        <w:rPr>
          <w:rStyle w:val="FontStyle15"/>
          <w:b/>
          <w:i/>
          <w:sz w:val="28"/>
          <w:szCs w:val="28"/>
          <w:lang w:val="uk-UA"/>
        </w:rPr>
        <w:t xml:space="preserve"> по аккредитации.</w:t>
      </w:r>
      <w:r>
        <w:rPr>
          <w:rStyle w:val="FontStyle15"/>
          <w:b/>
          <w:i/>
          <w:sz w:val="28"/>
          <w:szCs w:val="28"/>
          <w:lang w:val="uk-UA"/>
        </w:rPr>
        <w:t xml:space="preserve"> (</w:t>
      </w:r>
      <w:r w:rsidRPr="00635F94">
        <w:rPr>
          <w:rStyle w:val="FontStyle15"/>
          <w:i/>
          <w:sz w:val="28"/>
          <w:szCs w:val="28"/>
          <w:lang w:val="uk-UA"/>
        </w:rPr>
        <w:t>НЦА</w:t>
      </w:r>
      <w:r>
        <w:rPr>
          <w:rStyle w:val="FontStyle15"/>
          <w:b/>
          <w:i/>
          <w:sz w:val="28"/>
          <w:szCs w:val="28"/>
          <w:lang w:val="uk-UA"/>
        </w:rPr>
        <w:t>)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7911A9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</w:t>
      </w:r>
      <w:r w:rsidRPr="00120082">
        <w:rPr>
          <w:rStyle w:val="FontStyle15"/>
          <w:b/>
          <w:bCs/>
          <w:i/>
          <w:strike/>
          <w:sz w:val="28"/>
        </w:rPr>
        <w:t>в соответствии с настоящим Соглашением</w:t>
      </w:r>
      <w:r w:rsidRPr="00600F64">
        <w:rPr>
          <w:rStyle w:val="FontStyle15"/>
          <w:bCs/>
          <w:sz w:val="28"/>
        </w:rPr>
        <w:t xml:space="preserve"> </w:t>
      </w:r>
      <w:r w:rsidR="00120082" w:rsidRPr="00120082">
        <w:rPr>
          <w:rStyle w:val="FontStyle15"/>
          <w:bCs/>
          <w:i/>
          <w:sz w:val="28"/>
        </w:rPr>
        <w:t>(предложение НЦА)</w:t>
      </w:r>
      <w:r w:rsidR="00120082">
        <w:rPr>
          <w:rStyle w:val="FontStyle15"/>
          <w:bCs/>
          <w:sz w:val="28"/>
        </w:rPr>
        <w:t xml:space="preserve"> </w:t>
      </w:r>
      <w:r w:rsidRPr="00600F64">
        <w:rPr>
          <w:rStyle w:val="FontStyle15"/>
          <w:bCs/>
          <w:sz w:val="28"/>
        </w:rPr>
        <w:t xml:space="preserve">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</w:t>
      </w:r>
      <w:r w:rsidR="00120082" w:rsidRPr="00120082">
        <w:rPr>
          <w:rStyle w:val="FontStyle15"/>
          <w:b/>
          <w:bCs/>
          <w:i/>
          <w:sz w:val="28"/>
        </w:rPr>
        <w:t xml:space="preserve">(МГС) </w:t>
      </w:r>
      <w:r w:rsidRPr="00600F64">
        <w:rPr>
          <w:rStyle w:val="FontStyle15"/>
          <w:bCs/>
          <w:sz w:val="28"/>
        </w:rPr>
        <w:t>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</w:t>
      </w:r>
      <w:r w:rsidR="0060565C" w:rsidRPr="007911A9">
        <w:rPr>
          <w:rStyle w:val="FontStyle15"/>
          <w:bCs/>
          <w:strike/>
          <w:sz w:val="28"/>
        </w:rPr>
        <w:t>Сторон</w:t>
      </w:r>
      <w:r w:rsidR="007911A9">
        <w:rPr>
          <w:rStyle w:val="FontStyle15"/>
          <w:bCs/>
          <w:sz w:val="28"/>
        </w:rPr>
        <w:t xml:space="preserve"> </w:t>
      </w:r>
      <w:r w:rsidR="007911A9" w:rsidRPr="007911A9">
        <w:rPr>
          <w:b/>
          <w:bCs/>
          <w:i/>
          <w:sz w:val="28"/>
        </w:rPr>
        <w:t>государств-участник</w:t>
      </w:r>
      <w:r w:rsidR="007911A9">
        <w:rPr>
          <w:b/>
          <w:bCs/>
          <w:i/>
          <w:sz w:val="28"/>
        </w:rPr>
        <w:t>ов</w:t>
      </w:r>
      <w:r w:rsidR="007911A9" w:rsidRPr="007911A9">
        <w:rPr>
          <w:b/>
          <w:bCs/>
          <w:i/>
          <w:sz w:val="28"/>
        </w:rPr>
        <w:t xml:space="preserve"> настоящего </w:t>
      </w:r>
      <w:proofErr w:type="gramStart"/>
      <w:r w:rsidR="007911A9" w:rsidRPr="007911A9">
        <w:rPr>
          <w:b/>
          <w:bCs/>
          <w:i/>
          <w:sz w:val="28"/>
        </w:rPr>
        <w:t>Соглашения</w:t>
      </w:r>
      <w:r w:rsidR="007911A9">
        <w:rPr>
          <w:b/>
          <w:bCs/>
          <w:i/>
          <w:sz w:val="28"/>
        </w:rPr>
        <w:t>.</w:t>
      </w:r>
      <w:r w:rsidRPr="00600F64">
        <w:rPr>
          <w:rStyle w:val="FontStyle15"/>
          <w:bCs/>
          <w:sz w:val="28"/>
        </w:rPr>
        <w:t>.</w:t>
      </w:r>
      <w:proofErr w:type="gramEnd"/>
      <w:r w:rsidRPr="00600F64">
        <w:rPr>
          <w:rStyle w:val="FontStyle15"/>
          <w:bCs/>
          <w:sz w:val="28"/>
        </w:rPr>
        <w:t xml:space="preserve"> </w:t>
      </w:r>
    </w:p>
    <w:p w:rsidR="005E4644" w:rsidRDefault="008C49FB" w:rsidP="00F35B9F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056D9D">
        <w:rPr>
          <w:rStyle w:val="FontStyle15"/>
          <w:bCs/>
          <w:sz w:val="28"/>
          <w:szCs w:val="28"/>
        </w:rPr>
        <w:t>Порядок и условия осуществления взаимодействия определя</w:t>
      </w:r>
      <w:r w:rsidR="00056D9D">
        <w:rPr>
          <w:rStyle w:val="FontStyle15"/>
          <w:bCs/>
          <w:sz w:val="28"/>
          <w:szCs w:val="28"/>
        </w:rPr>
        <w:t>ю</w:t>
      </w:r>
      <w:r w:rsidRPr="00056D9D">
        <w:rPr>
          <w:rStyle w:val="FontStyle15"/>
          <w:bCs/>
          <w:sz w:val="28"/>
          <w:szCs w:val="28"/>
        </w:rPr>
        <w:t xml:space="preserve">тся органами по аккредитации </w:t>
      </w:r>
      <w:r w:rsidR="004F6A3A" w:rsidRPr="00056D9D">
        <w:rPr>
          <w:rStyle w:val="FontStyle15"/>
          <w:bCs/>
          <w:sz w:val="28"/>
          <w:szCs w:val="28"/>
        </w:rPr>
        <w:t>государств-</w:t>
      </w:r>
      <w:r w:rsidRPr="00056D9D">
        <w:rPr>
          <w:rStyle w:val="FontStyle15"/>
          <w:bCs/>
          <w:sz w:val="28"/>
          <w:szCs w:val="28"/>
        </w:rPr>
        <w:t xml:space="preserve">участников настоящего Соглашения на площадке Межгосударственного совета по стандартизации, метрологии и сертификации. </w:t>
      </w:r>
    </w:p>
    <w:p w:rsidR="00120082" w:rsidRDefault="00120082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i/>
          <w:sz w:val="28"/>
          <w:szCs w:val="28"/>
        </w:rPr>
      </w:pPr>
      <w:r w:rsidRPr="00120082">
        <w:rPr>
          <w:b/>
          <w:i/>
          <w:sz w:val="28"/>
          <w:szCs w:val="28"/>
        </w:rPr>
        <w:t>Порядок взаимодействия определяется органами по аккредитации Сторон на площадке МГС.</w:t>
      </w:r>
      <w:r w:rsidRPr="001200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A720F9">
        <w:rPr>
          <w:i/>
          <w:sz w:val="28"/>
          <w:szCs w:val="28"/>
        </w:rPr>
        <w:t>предложение НЦА</w:t>
      </w:r>
      <w:r>
        <w:rPr>
          <w:i/>
          <w:sz w:val="28"/>
          <w:szCs w:val="28"/>
        </w:rPr>
        <w:t>)</w:t>
      </w:r>
    </w:p>
    <w:p w:rsidR="00635F94" w:rsidRPr="00635F94" w:rsidRDefault="00635F94" w:rsidP="00635F94">
      <w:pPr>
        <w:tabs>
          <w:tab w:val="left" w:pos="851"/>
          <w:tab w:val="left" w:pos="993"/>
        </w:tabs>
        <w:ind w:firstLine="709"/>
        <w:jc w:val="both"/>
        <w:rPr>
          <w:b/>
          <w:i/>
          <w:sz w:val="28"/>
          <w:lang w:eastAsia="ru-RU"/>
        </w:rPr>
      </w:pPr>
      <w:r w:rsidRPr="00635F94">
        <w:rPr>
          <w:b/>
          <w:bCs/>
          <w:i/>
          <w:sz w:val="28"/>
          <w:lang w:eastAsia="ru-RU"/>
        </w:rPr>
        <w:t>По статье 6</w:t>
      </w:r>
      <w:r w:rsidRPr="00635F94">
        <w:rPr>
          <w:b/>
          <w:i/>
          <w:sz w:val="28"/>
          <w:lang w:eastAsia="ru-RU"/>
        </w:rPr>
        <w:t xml:space="preserve"> – представляется необходимым конкретизировать механизм взаимодействия между органами по аккредитации, в том числе в части обмена информацией, сроков и форм взаимодействия, а также механизмов реагирования на выявленные несоответствия.</w:t>
      </w:r>
      <w:r>
        <w:rPr>
          <w:b/>
          <w:i/>
          <w:sz w:val="28"/>
          <w:lang w:eastAsia="ru-RU"/>
        </w:rPr>
        <w:t xml:space="preserve"> (</w:t>
      </w:r>
      <w:r w:rsidRPr="00635F94">
        <w:rPr>
          <w:i/>
          <w:sz w:val="28"/>
          <w:lang w:eastAsia="ru-RU"/>
        </w:rPr>
        <w:t>НЦА</w:t>
      </w:r>
      <w:r>
        <w:rPr>
          <w:b/>
          <w:i/>
          <w:sz w:val="28"/>
          <w:lang w:eastAsia="ru-RU"/>
        </w:rPr>
        <w:t>)</w:t>
      </w:r>
    </w:p>
    <w:p w:rsidR="00635F94" w:rsidRPr="00635F94" w:rsidRDefault="00635F94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</w:rPr>
      </w:pPr>
    </w:p>
    <w:p w:rsidR="00120082" w:rsidRPr="00120082" w:rsidRDefault="00120082" w:rsidP="00120082">
      <w:pPr>
        <w:pStyle w:val="af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 xml:space="preserve">Каждая Сторона самостоятельно участвует в деятельности </w:t>
      </w:r>
      <w:r w:rsidRPr="00120082">
        <w:rPr>
          <w:b/>
          <w:i/>
          <w:strike/>
          <w:spacing w:val="-6"/>
          <w:sz w:val="28"/>
          <w:szCs w:val="28"/>
        </w:rPr>
        <w:t>соответствующих</w:t>
      </w:r>
      <w:r w:rsidRPr="00586119">
        <w:rPr>
          <w:sz w:val="28"/>
          <w:szCs w:val="28"/>
        </w:rPr>
        <w:t xml:space="preserve"> </w:t>
      </w:r>
      <w:r w:rsidR="00120082" w:rsidRPr="00120082">
        <w:rPr>
          <w:i/>
          <w:sz w:val="28"/>
          <w:szCs w:val="28"/>
        </w:rPr>
        <w:t>(предложение НЦА)</w:t>
      </w:r>
      <w:r w:rsidR="00120082">
        <w:rPr>
          <w:i/>
          <w:sz w:val="28"/>
          <w:szCs w:val="28"/>
        </w:rPr>
        <w:t xml:space="preserve"> </w:t>
      </w:r>
      <w:r w:rsidRPr="00586119">
        <w:rPr>
          <w:sz w:val="28"/>
          <w:szCs w:val="28"/>
        </w:rPr>
        <w:t>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120082" w:rsidRPr="00120082" w:rsidRDefault="00120082" w:rsidP="00120082">
      <w:pPr>
        <w:autoSpaceDE w:val="0"/>
        <w:autoSpaceDN w:val="0"/>
        <w:adjustRightInd w:val="0"/>
        <w:spacing w:line="300" w:lineRule="exact"/>
        <w:ind w:firstLine="709"/>
        <w:jc w:val="both"/>
        <w:rPr>
          <w:b/>
          <w:i/>
          <w:sz w:val="28"/>
          <w:szCs w:val="28"/>
        </w:rPr>
      </w:pPr>
      <w:r w:rsidRPr="00120082">
        <w:rPr>
          <w:b/>
          <w:i/>
          <w:sz w:val="28"/>
          <w:szCs w:val="28"/>
        </w:rPr>
        <w:t>Изменения и дополнения в настоящее Соглашение вносятся по взаимному согласию Сторон, оформляются в виде Протокола и являются его неотъемлемой частью.</w:t>
      </w:r>
      <w:r w:rsidRPr="00120082">
        <w:rPr>
          <w:i/>
          <w:sz w:val="28"/>
          <w:szCs w:val="28"/>
        </w:rPr>
        <w:t xml:space="preserve"> (предложение НЦА)</w:t>
      </w:r>
    </w:p>
    <w:p w:rsidR="00120082" w:rsidRPr="00417080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120082" w:rsidRPr="00120082" w:rsidRDefault="00120082" w:rsidP="00120082">
      <w:pPr>
        <w:autoSpaceDE w:val="0"/>
        <w:autoSpaceDN w:val="0"/>
        <w:adjustRightInd w:val="0"/>
        <w:spacing w:line="300" w:lineRule="exact"/>
        <w:ind w:firstLine="709"/>
        <w:jc w:val="both"/>
        <w:rPr>
          <w:b/>
          <w:i/>
          <w:sz w:val="28"/>
          <w:szCs w:val="28"/>
        </w:rPr>
      </w:pPr>
      <w:r w:rsidRPr="00120082">
        <w:rPr>
          <w:b/>
          <w:i/>
          <w:sz w:val="28"/>
          <w:szCs w:val="28"/>
        </w:rPr>
        <w:t>Спорные вопросы, возникающие при применении и толковании настоящего Соглашения, решаются путём консультаций, переговоров или иной согласованной процедуры.</w:t>
      </w:r>
      <w:r w:rsidRPr="00120082">
        <w:rPr>
          <w:i/>
          <w:sz w:val="28"/>
          <w:szCs w:val="28"/>
        </w:rPr>
        <w:t xml:space="preserve"> (предложение НЦА)</w:t>
      </w:r>
    </w:p>
    <w:p w:rsidR="00120082" w:rsidRPr="00586119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120082" w:rsidRPr="00120082" w:rsidRDefault="00120082" w:rsidP="00120082">
      <w:pPr>
        <w:autoSpaceDE w:val="0"/>
        <w:autoSpaceDN w:val="0"/>
        <w:adjustRightInd w:val="0"/>
        <w:spacing w:line="300" w:lineRule="exact"/>
        <w:ind w:firstLine="709"/>
        <w:jc w:val="both"/>
        <w:rPr>
          <w:b/>
          <w:i/>
          <w:sz w:val="28"/>
          <w:szCs w:val="28"/>
        </w:rPr>
      </w:pPr>
      <w:r w:rsidRPr="00120082">
        <w:rPr>
          <w:b/>
          <w:i/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завершении внутригосударственных процедур.</w:t>
      </w:r>
      <w:r>
        <w:rPr>
          <w:b/>
          <w:i/>
          <w:sz w:val="28"/>
          <w:szCs w:val="28"/>
        </w:rPr>
        <w:t xml:space="preserve"> </w:t>
      </w:r>
      <w:r w:rsidRPr="00120082">
        <w:rPr>
          <w:i/>
          <w:sz w:val="28"/>
          <w:szCs w:val="28"/>
        </w:rPr>
        <w:t>(предложение НЦА)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120082" w:rsidRPr="00120082" w:rsidRDefault="00120082" w:rsidP="00120082">
      <w:pPr>
        <w:autoSpaceDE w:val="0"/>
        <w:autoSpaceDN w:val="0"/>
        <w:adjustRightInd w:val="0"/>
        <w:spacing w:line="300" w:lineRule="exact"/>
        <w:ind w:firstLine="709"/>
        <w:jc w:val="both"/>
        <w:rPr>
          <w:b/>
          <w:i/>
          <w:sz w:val="28"/>
          <w:szCs w:val="28"/>
        </w:rPr>
      </w:pPr>
      <w:r w:rsidRPr="00120082">
        <w:rPr>
          <w:b/>
          <w:i/>
          <w:sz w:val="28"/>
          <w:szCs w:val="28"/>
        </w:rPr>
        <w:t>Для остальных Сторон, выполнивших внутригосударственные процедуры позднее – настоящее Соглашение вступает в силу по истечении 30 дней после получения депозитарием их уведомлений о завершении процедур.</w:t>
      </w:r>
      <w:r w:rsidRPr="00120082">
        <w:rPr>
          <w:i/>
          <w:sz w:val="28"/>
          <w:szCs w:val="28"/>
        </w:rPr>
        <w:t xml:space="preserve"> (предложение НЦА)</w:t>
      </w:r>
    </w:p>
    <w:p w:rsidR="00120082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635F94" w:rsidRPr="00635F94" w:rsidRDefault="00635F94" w:rsidP="00635F94">
      <w:pPr>
        <w:tabs>
          <w:tab w:val="left" w:pos="851"/>
          <w:tab w:val="left" w:pos="993"/>
        </w:tabs>
        <w:ind w:firstLine="709"/>
        <w:jc w:val="both"/>
        <w:rPr>
          <w:b/>
          <w:i/>
          <w:sz w:val="28"/>
          <w:lang w:eastAsia="ru-RU"/>
        </w:rPr>
      </w:pPr>
      <w:r w:rsidRPr="00635F94">
        <w:rPr>
          <w:b/>
          <w:i/>
          <w:sz w:val="28"/>
          <w:lang w:eastAsia="ru-RU"/>
        </w:rPr>
        <w:t xml:space="preserve">Отдельно обращаем внимание на необходимость </w:t>
      </w:r>
      <w:r w:rsidRPr="00635F94">
        <w:rPr>
          <w:b/>
          <w:bCs/>
          <w:i/>
          <w:sz w:val="28"/>
          <w:lang w:eastAsia="ru-RU"/>
        </w:rPr>
        <w:t>определения органа или структуры в рамках МГС или СНГ</w:t>
      </w:r>
      <w:r w:rsidRPr="00635F94">
        <w:rPr>
          <w:b/>
          <w:i/>
          <w:sz w:val="28"/>
          <w:lang w:eastAsia="ru-RU"/>
        </w:rPr>
        <w:t>, который будет уполномочен на координацию и организацию международных функций, включая проведение паритетных оценок, согласование методических подходов и обеспечение единства трактовки положений Соглашения. Также требуется уточнение правовых оснований – нормативных и/или договорных документов, на которых будет базироваться деятельность указанного органа.</w:t>
      </w:r>
      <w:r>
        <w:rPr>
          <w:b/>
          <w:i/>
          <w:sz w:val="28"/>
          <w:lang w:eastAsia="ru-RU"/>
        </w:rPr>
        <w:t xml:space="preserve"> (</w:t>
      </w:r>
      <w:r w:rsidRPr="00635F94">
        <w:rPr>
          <w:i/>
          <w:sz w:val="28"/>
          <w:lang w:eastAsia="ru-RU"/>
        </w:rPr>
        <w:t>НЦА</w:t>
      </w:r>
      <w:r>
        <w:rPr>
          <w:b/>
          <w:i/>
          <w:sz w:val="28"/>
          <w:lang w:eastAsia="ru-RU"/>
        </w:rPr>
        <w:t>)</w:t>
      </w:r>
    </w:p>
    <w:p w:rsidR="004033F2" w:rsidRDefault="004033F2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Pr="009C502A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4B789B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568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D08" w:rsidRDefault="00090D08" w:rsidP="00A87F60">
      <w:r>
        <w:separator/>
      </w:r>
    </w:p>
  </w:endnote>
  <w:endnote w:type="continuationSeparator" w:id="0">
    <w:p w:rsidR="00090D08" w:rsidRDefault="00090D0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D08" w:rsidRDefault="00090D08" w:rsidP="00A87F60">
      <w:r>
        <w:separator/>
      </w:r>
    </w:p>
  </w:footnote>
  <w:footnote w:type="continuationSeparator" w:id="0">
    <w:p w:rsidR="00090D08" w:rsidRDefault="00090D08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333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8C" w:rsidRPr="005A0F8B" w:rsidRDefault="007801ED" w:rsidP="00082D8C">
    <w:pPr>
      <w:widowControl w:val="0"/>
      <w:spacing w:line="240" w:lineRule="atLeast"/>
      <w:rPr>
        <w:rFonts w:eastAsia="Cambria-Italic"/>
        <w:b/>
        <w:lang w:val="en-US"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E918E8">
      <w:rPr>
        <w:rFonts w:ascii="Calibri" w:eastAsia="Cambria-Italic" w:hAnsi="Calibri" w:cs="Cambria-Italic"/>
        <w:b/>
        <w:lang w:eastAsia="en-US"/>
      </w:rPr>
      <w:t xml:space="preserve">       </w:t>
    </w:r>
    <w:r w:rsidR="00082D8C" w:rsidRPr="00E918E8">
      <w:rPr>
        <w:rFonts w:eastAsia="Cambria-Italic"/>
        <w:b/>
        <w:lang w:eastAsia="en-US"/>
      </w:rPr>
      <w:t xml:space="preserve">Приложение № </w:t>
    </w:r>
    <w:r w:rsidR="005A0F8B">
      <w:rPr>
        <w:rFonts w:eastAsia="Cambria-Italic"/>
        <w:b/>
        <w:lang w:val="en-US" w:eastAsia="en-US"/>
      </w:rPr>
      <w:t>5</w:t>
    </w:r>
  </w:p>
  <w:p w:rsidR="001A3DBB" w:rsidRPr="00E918E8" w:rsidRDefault="00082D8C" w:rsidP="00082D8C">
    <w:pPr>
      <w:widowControl w:val="0"/>
      <w:spacing w:line="240" w:lineRule="atLeast"/>
      <w:rPr>
        <w:rFonts w:eastAsia="Cambria-Italic"/>
        <w:b/>
        <w:lang w:eastAsia="en-US"/>
      </w:rPr>
    </w:pPr>
    <w:r w:rsidRPr="00E918E8">
      <w:rPr>
        <w:rFonts w:eastAsia="Cambria-Italic"/>
        <w:b/>
        <w:lang w:eastAsia="en-US"/>
      </w:rPr>
      <w:t xml:space="preserve">                                                                                                                к протоколу </w:t>
    </w:r>
    <w:r w:rsidR="005A0F8B">
      <w:rPr>
        <w:rFonts w:eastAsia="Cambria-Italic"/>
        <w:b/>
        <w:lang w:eastAsia="en-US"/>
      </w:rPr>
      <w:t xml:space="preserve">НТКА </w:t>
    </w:r>
    <w:r w:rsidRPr="00E918E8">
      <w:rPr>
        <w:rFonts w:eastAsia="Cambria-Italic"/>
        <w:b/>
        <w:lang w:eastAsia="en-US"/>
      </w:rPr>
      <w:t xml:space="preserve">№ </w:t>
    </w:r>
    <w:r w:rsidR="005A0F8B">
      <w:rPr>
        <w:rFonts w:eastAsia="Cambria-Italic"/>
        <w:b/>
        <w:lang w:eastAsia="en-US"/>
      </w:rPr>
      <w:t>55</w:t>
    </w:r>
    <w:r w:rsidRPr="00E918E8">
      <w:rPr>
        <w:rFonts w:eastAsia="Cambria-Italic"/>
        <w:b/>
        <w:lang w:eastAsia="en-US"/>
      </w:rPr>
      <w:t>-202</w:t>
    </w:r>
    <w:r w:rsidR="00D85E11" w:rsidRPr="00E918E8">
      <w:rPr>
        <w:rFonts w:eastAsia="Cambria-Italic"/>
        <w:b/>
        <w:lang w:eastAsia="en-US"/>
      </w:rPr>
      <w:t>5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B1B6F"/>
    <w:multiLevelType w:val="hybridMultilevel"/>
    <w:tmpl w:val="12860EE6"/>
    <w:lvl w:ilvl="0" w:tplc="E640A66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7FE390E"/>
    <w:multiLevelType w:val="hybridMultilevel"/>
    <w:tmpl w:val="CC705F5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9B197B"/>
    <w:multiLevelType w:val="multilevel"/>
    <w:tmpl w:val="66D20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052F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56D9D"/>
    <w:rsid w:val="0007418D"/>
    <w:rsid w:val="0007540F"/>
    <w:rsid w:val="0007749C"/>
    <w:rsid w:val="0008251C"/>
    <w:rsid w:val="00082D8C"/>
    <w:rsid w:val="00086A0D"/>
    <w:rsid w:val="000903A0"/>
    <w:rsid w:val="00090D08"/>
    <w:rsid w:val="00093F8F"/>
    <w:rsid w:val="0009545B"/>
    <w:rsid w:val="000A2218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064A5"/>
    <w:rsid w:val="00111802"/>
    <w:rsid w:val="00120082"/>
    <w:rsid w:val="00121333"/>
    <w:rsid w:val="00125838"/>
    <w:rsid w:val="0013264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A3DBB"/>
    <w:rsid w:val="001B143B"/>
    <w:rsid w:val="001B1822"/>
    <w:rsid w:val="001B2210"/>
    <w:rsid w:val="001B2D67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3692"/>
    <w:rsid w:val="002253AB"/>
    <w:rsid w:val="00227455"/>
    <w:rsid w:val="00227751"/>
    <w:rsid w:val="002279F4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0E33"/>
    <w:rsid w:val="0029477F"/>
    <w:rsid w:val="00294C57"/>
    <w:rsid w:val="00295352"/>
    <w:rsid w:val="002A47FA"/>
    <w:rsid w:val="002A55F0"/>
    <w:rsid w:val="002A6590"/>
    <w:rsid w:val="002B48B9"/>
    <w:rsid w:val="002C0C52"/>
    <w:rsid w:val="002C1B53"/>
    <w:rsid w:val="002D1134"/>
    <w:rsid w:val="002D1F17"/>
    <w:rsid w:val="002D3AD0"/>
    <w:rsid w:val="002D6F29"/>
    <w:rsid w:val="002E1127"/>
    <w:rsid w:val="002E456B"/>
    <w:rsid w:val="002F42DB"/>
    <w:rsid w:val="002F7647"/>
    <w:rsid w:val="00303AA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4525"/>
    <w:rsid w:val="00356B90"/>
    <w:rsid w:val="00356C8E"/>
    <w:rsid w:val="00360A52"/>
    <w:rsid w:val="003645E1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44"/>
    <w:rsid w:val="003B6ABA"/>
    <w:rsid w:val="003B7190"/>
    <w:rsid w:val="003C2CB4"/>
    <w:rsid w:val="003C5BE9"/>
    <w:rsid w:val="003D1619"/>
    <w:rsid w:val="003D3986"/>
    <w:rsid w:val="003D3CD0"/>
    <w:rsid w:val="003D4B68"/>
    <w:rsid w:val="003D5566"/>
    <w:rsid w:val="003D5B4B"/>
    <w:rsid w:val="003E729F"/>
    <w:rsid w:val="003F21AB"/>
    <w:rsid w:val="003F2601"/>
    <w:rsid w:val="003F2EFA"/>
    <w:rsid w:val="003F4299"/>
    <w:rsid w:val="0040038D"/>
    <w:rsid w:val="004033F2"/>
    <w:rsid w:val="0041174A"/>
    <w:rsid w:val="00413673"/>
    <w:rsid w:val="0041543D"/>
    <w:rsid w:val="00417080"/>
    <w:rsid w:val="004171C8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42F"/>
    <w:rsid w:val="0049457D"/>
    <w:rsid w:val="00494DB0"/>
    <w:rsid w:val="004952A5"/>
    <w:rsid w:val="004A018A"/>
    <w:rsid w:val="004B4462"/>
    <w:rsid w:val="004B789B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4F6A3A"/>
    <w:rsid w:val="00503326"/>
    <w:rsid w:val="00505ABE"/>
    <w:rsid w:val="005100A1"/>
    <w:rsid w:val="00510B94"/>
    <w:rsid w:val="005228A7"/>
    <w:rsid w:val="00523BE1"/>
    <w:rsid w:val="00527591"/>
    <w:rsid w:val="00537D3C"/>
    <w:rsid w:val="0054006F"/>
    <w:rsid w:val="00541115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5743"/>
    <w:rsid w:val="0057698B"/>
    <w:rsid w:val="0058589E"/>
    <w:rsid w:val="00590837"/>
    <w:rsid w:val="0059681C"/>
    <w:rsid w:val="00597C2D"/>
    <w:rsid w:val="005A0F8B"/>
    <w:rsid w:val="005A18C6"/>
    <w:rsid w:val="005A4765"/>
    <w:rsid w:val="005B614A"/>
    <w:rsid w:val="005B7B83"/>
    <w:rsid w:val="005B7DF7"/>
    <w:rsid w:val="005C563E"/>
    <w:rsid w:val="005D554C"/>
    <w:rsid w:val="005E033C"/>
    <w:rsid w:val="005E4644"/>
    <w:rsid w:val="005E64E7"/>
    <w:rsid w:val="005E6C12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244B"/>
    <w:rsid w:val="00624124"/>
    <w:rsid w:val="00624CDF"/>
    <w:rsid w:val="00626747"/>
    <w:rsid w:val="00631615"/>
    <w:rsid w:val="00631A7D"/>
    <w:rsid w:val="00635F94"/>
    <w:rsid w:val="00641279"/>
    <w:rsid w:val="00654D69"/>
    <w:rsid w:val="00656E88"/>
    <w:rsid w:val="00657E88"/>
    <w:rsid w:val="00666AD0"/>
    <w:rsid w:val="00667C8E"/>
    <w:rsid w:val="00670466"/>
    <w:rsid w:val="00671700"/>
    <w:rsid w:val="00675ACE"/>
    <w:rsid w:val="00684090"/>
    <w:rsid w:val="00691FEB"/>
    <w:rsid w:val="00692D62"/>
    <w:rsid w:val="00693E7D"/>
    <w:rsid w:val="00695F47"/>
    <w:rsid w:val="006A056A"/>
    <w:rsid w:val="006A1FA1"/>
    <w:rsid w:val="006A3D9C"/>
    <w:rsid w:val="006B0FC3"/>
    <w:rsid w:val="006B1C8B"/>
    <w:rsid w:val="006B758C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6F7B0B"/>
    <w:rsid w:val="00703E88"/>
    <w:rsid w:val="00706B72"/>
    <w:rsid w:val="00722C4D"/>
    <w:rsid w:val="00723CA4"/>
    <w:rsid w:val="007378E4"/>
    <w:rsid w:val="007422CB"/>
    <w:rsid w:val="007466B7"/>
    <w:rsid w:val="007562EB"/>
    <w:rsid w:val="00757B2B"/>
    <w:rsid w:val="00757E6F"/>
    <w:rsid w:val="00764B0A"/>
    <w:rsid w:val="00765023"/>
    <w:rsid w:val="00766524"/>
    <w:rsid w:val="00771B26"/>
    <w:rsid w:val="007762F2"/>
    <w:rsid w:val="0077748F"/>
    <w:rsid w:val="007801ED"/>
    <w:rsid w:val="00780B07"/>
    <w:rsid w:val="0078502C"/>
    <w:rsid w:val="007911A9"/>
    <w:rsid w:val="007923B4"/>
    <w:rsid w:val="007A2EB7"/>
    <w:rsid w:val="007B356F"/>
    <w:rsid w:val="007B58EE"/>
    <w:rsid w:val="007C4AF6"/>
    <w:rsid w:val="007C5270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44BE9"/>
    <w:rsid w:val="00847496"/>
    <w:rsid w:val="008477E1"/>
    <w:rsid w:val="00847A0F"/>
    <w:rsid w:val="00847C70"/>
    <w:rsid w:val="00847C82"/>
    <w:rsid w:val="00850DB8"/>
    <w:rsid w:val="008515C8"/>
    <w:rsid w:val="00860AC1"/>
    <w:rsid w:val="00865F4D"/>
    <w:rsid w:val="0087510A"/>
    <w:rsid w:val="00886EEC"/>
    <w:rsid w:val="008932AA"/>
    <w:rsid w:val="008A1211"/>
    <w:rsid w:val="008A1D9B"/>
    <w:rsid w:val="008A6EEB"/>
    <w:rsid w:val="008B1EC2"/>
    <w:rsid w:val="008B2149"/>
    <w:rsid w:val="008B2163"/>
    <w:rsid w:val="008B4054"/>
    <w:rsid w:val="008B4AC9"/>
    <w:rsid w:val="008B59F2"/>
    <w:rsid w:val="008C3C8A"/>
    <w:rsid w:val="008C49FB"/>
    <w:rsid w:val="008C6E16"/>
    <w:rsid w:val="008D7ABC"/>
    <w:rsid w:val="008D7EB3"/>
    <w:rsid w:val="008E1FF1"/>
    <w:rsid w:val="008E5E27"/>
    <w:rsid w:val="008F6D2D"/>
    <w:rsid w:val="00910EBE"/>
    <w:rsid w:val="00913CD5"/>
    <w:rsid w:val="00915754"/>
    <w:rsid w:val="00920CA2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586F"/>
    <w:rsid w:val="00956257"/>
    <w:rsid w:val="009607BD"/>
    <w:rsid w:val="00966D40"/>
    <w:rsid w:val="00967D49"/>
    <w:rsid w:val="00967E0D"/>
    <w:rsid w:val="00971BEF"/>
    <w:rsid w:val="00972E41"/>
    <w:rsid w:val="00985BF4"/>
    <w:rsid w:val="00985DF7"/>
    <w:rsid w:val="009A036C"/>
    <w:rsid w:val="009A1B37"/>
    <w:rsid w:val="009A70CA"/>
    <w:rsid w:val="009B0E26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E7265"/>
    <w:rsid w:val="009F3BD5"/>
    <w:rsid w:val="009F3EA6"/>
    <w:rsid w:val="009F5314"/>
    <w:rsid w:val="00A00564"/>
    <w:rsid w:val="00A013F5"/>
    <w:rsid w:val="00A032C0"/>
    <w:rsid w:val="00A10FAC"/>
    <w:rsid w:val="00A13E92"/>
    <w:rsid w:val="00A209E8"/>
    <w:rsid w:val="00A27569"/>
    <w:rsid w:val="00A31932"/>
    <w:rsid w:val="00A324F2"/>
    <w:rsid w:val="00A34746"/>
    <w:rsid w:val="00A36539"/>
    <w:rsid w:val="00A40DED"/>
    <w:rsid w:val="00A41A16"/>
    <w:rsid w:val="00A527A6"/>
    <w:rsid w:val="00A57828"/>
    <w:rsid w:val="00A60965"/>
    <w:rsid w:val="00A720F9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298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630B3"/>
    <w:rsid w:val="00B66B95"/>
    <w:rsid w:val="00B74166"/>
    <w:rsid w:val="00B83DBC"/>
    <w:rsid w:val="00B87CEC"/>
    <w:rsid w:val="00B96306"/>
    <w:rsid w:val="00BA5A58"/>
    <w:rsid w:val="00BA6949"/>
    <w:rsid w:val="00BA6B30"/>
    <w:rsid w:val="00BB21EA"/>
    <w:rsid w:val="00BB764B"/>
    <w:rsid w:val="00BC308C"/>
    <w:rsid w:val="00BC3666"/>
    <w:rsid w:val="00BC5062"/>
    <w:rsid w:val="00BD007A"/>
    <w:rsid w:val="00BD0974"/>
    <w:rsid w:val="00BD50E1"/>
    <w:rsid w:val="00BD6201"/>
    <w:rsid w:val="00BD7197"/>
    <w:rsid w:val="00BF1B0B"/>
    <w:rsid w:val="00BF5E29"/>
    <w:rsid w:val="00C00CDC"/>
    <w:rsid w:val="00C01EAA"/>
    <w:rsid w:val="00C0411D"/>
    <w:rsid w:val="00C0455B"/>
    <w:rsid w:val="00C05A16"/>
    <w:rsid w:val="00C06F48"/>
    <w:rsid w:val="00C07338"/>
    <w:rsid w:val="00C07A68"/>
    <w:rsid w:val="00C10F16"/>
    <w:rsid w:val="00C11595"/>
    <w:rsid w:val="00C13044"/>
    <w:rsid w:val="00C152EC"/>
    <w:rsid w:val="00C4660C"/>
    <w:rsid w:val="00C478DB"/>
    <w:rsid w:val="00C53757"/>
    <w:rsid w:val="00C576AC"/>
    <w:rsid w:val="00C61425"/>
    <w:rsid w:val="00C64235"/>
    <w:rsid w:val="00C711AA"/>
    <w:rsid w:val="00C74D24"/>
    <w:rsid w:val="00C757DE"/>
    <w:rsid w:val="00C8238F"/>
    <w:rsid w:val="00CB1723"/>
    <w:rsid w:val="00CB60B5"/>
    <w:rsid w:val="00CD0D58"/>
    <w:rsid w:val="00CD112B"/>
    <w:rsid w:val="00CD124B"/>
    <w:rsid w:val="00CD2443"/>
    <w:rsid w:val="00CD4A73"/>
    <w:rsid w:val="00CD4E09"/>
    <w:rsid w:val="00CD5FD5"/>
    <w:rsid w:val="00CE11E5"/>
    <w:rsid w:val="00CE1942"/>
    <w:rsid w:val="00CE56DC"/>
    <w:rsid w:val="00CF2736"/>
    <w:rsid w:val="00D01C55"/>
    <w:rsid w:val="00D10915"/>
    <w:rsid w:val="00D10F3C"/>
    <w:rsid w:val="00D12857"/>
    <w:rsid w:val="00D212D4"/>
    <w:rsid w:val="00D233D7"/>
    <w:rsid w:val="00D27304"/>
    <w:rsid w:val="00D302C2"/>
    <w:rsid w:val="00D32C8F"/>
    <w:rsid w:val="00D34D39"/>
    <w:rsid w:val="00D479F2"/>
    <w:rsid w:val="00D47FB6"/>
    <w:rsid w:val="00D565EC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5E11"/>
    <w:rsid w:val="00D8653C"/>
    <w:rsid w:val="00D9609F"/>
    <w:rsid w:val="00DA0E78"/>
    <w:rsid w:val="00DA1C1E"/>
    <w:rsid w:val="00DA6BF7"/>
    <w:rsid w:val="00DB61BA"/>
    <w:rsid w:val="00DB6767"/>
    <w:rsid w:val="00DC171C"/>
    <w:rsid w:val="00DC2FF5"/>
    <w:rsid w:val="00DC792D"/>
    <w:rsid w:val="00DD4EDD"/>
    <w:rsid w:val="00DE30A7"/>
    <w:rsid w:val="00DE58F0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9136D"/>
    <w:rsid w:val="00E918E8"/>
    <w:rsid w:val="00E9255A"/>
    <w:rsid w:val="00E950D3"/>
    <w:rsid w:val="00EA789E"/>
    <w:rsid w:val="00EC2CFE"/>
    <w:rsid w:val="00EC6A74"/>
    <w:rsid w:val="00EC6D08"/>
    <w:rsid w:val="00ED77C6"/>
    <w:rsid w:val="00EE4823"/>
    <w:rsid w:val="00EE4842"/>
    <w:rsid w:val="00EE4892"/>
    <w:rsid w:val="00EF7E06"/>
    <w:rsid w:val="00F0715D"/>
    <w:rsid w:val="00F075D1"/>
    <w:rsid w:val="00F108FE"/>
    <w:rsid w:val="00F16D53"/>
    <w:rsid w:val="00F171B5"/>
    <w:rsid w:val="00F27172"/>
    <w:rsid w:val="00F30738"/>
    <w:rsid w:val="00F34547"/>
    <w:rsid w:val="00F35B9F"/>
    <w:rsid w:val="00F41D3D"/>
    <w:rsid w:val="00F45265"/>
    <w:rsid w:val="00F4726A"/>
    <w:rsid w:val="00F51BC5"/>
    <w:rsid w:val="00F53342"/>
    <w:rsid w:val="00F5676E"/>
    <w:rsid w:val="00F56A76"/>
    <w:rsid w:val="00F56CEC"/>
    <w:rsid w:val="00F601BD"/>
    <w:rsid w:val="00F625A1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4D35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082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  <w:style w:type="paragraph" w:styleId="af2">
    <w:name w:val="List Paragraph"/>
    <w:basedOn w:val="a"/>
    <w:uiPriority w:val="34"/>
    <w:qFormat/>
    <w:rsid w:val="00FE4D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3">
    <w:name w:val="Normal (Web)"/>
    <w:basedOn w:val="a"/>
    <w:uiPriority w:val="99"/>
    <w:unhideWhenUsed/>
    <w:rsid w:val="00086A0D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F4BD7-C55B-442A-B41E-0F721C8E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2655</Words>
  <Characters>15135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17755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35</cp:revision>
  <cp:lastPrinted>2021-11-12T12:15:00Z</cp:lastPrinted>
  <dcterms:created xsi:type="dcterms:W3CDTF">2024-11-22T06:54:00Z</dcterms:created>
  <dcterms:modified xsi:type="dcterms:W3CDTF">2025-04-15T10:34:00Z</dcterms:modified>
</cp:coreProperties>
</file>